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F3" w:rsidRPr="00CA1B43" w:rsidRDefault="00922AF3" w:rsidP="00922AF3">
      <w:pPr>
        <w:ind w:right="-45"/>
        <w:jc w:val="both"/>
        <w:rPr>
          <w:rFonts w:ascii="Sylfaen" w:hAnsi="Sylfaen"/>
          <w:szCs w:val="20"/>
          <w:lang w:val="hy-AM"/>
        </w:rPr>
      </w:pPr>
      <w:r w:rsidRPr="00CA1B43">
        <w:rPr>
          <w:rFonts w:ascii="Sylfaen" w:hAnsi="Sylfaen"/>
          <w:szCs w:val="20"/>
          <w:lang w:val="hy-AM"/>
        </w:rPr>
        <w:t xml:space="preserve">© Եվրոպայի խորհուրդ/ Մարդու իրավունքների եվրոպական </w:t>
      </w:r>
      <w:r w:rsidRPr="00CA1B43">
        <w:rPr>
          <w:rFonts w:ascii="Sylfaen" w:hAnsi="Sylfaen"/>
          <w:szCs w:val="20"/>
          <w:lang w:val="en-US"/>
        </w:rPr>
        <w:t>դ</w:t>
      </w:r>
      <w:r w:rsidRPr="00CA1B43">
        <w:rPr>
          <w:rFonts w:ascii="Sylfaen" w:hAnsi="Sylfaen"/>
          <w:szCs w:val="20"/>
          <w:lang w:val="hy-AM"/>
        </w:rPr>
        <w:t>ատարան, 2013: Սույն թարգմանությունն իրականացվել է Եվրոպայի խորհրդի Մարդու իրավունքների հավատարմագրային ֆոնդի (</w:t>
      </w:r>
      <w:hyperlink r:id="rId8" w:tgtFrame="_blank" w:tooltip="http://www.coe.int/humanrightstrustfund" w:history="1">
        <w:r w:rsidRPr="00CA1B43">
          <w:rPr>
            <w:rFonts w:ascii="Sylfaen" w:hAnsi="Sylfaen"/>
            <w:color w:val="0000FF"/>
            <w:szCs w:val="20"/>
            <w:u w:val="single"/>
            <w:lang w:val="hy-AM"/>
          </w:rPr>
          <w:t>www.coe.int/humanrightstrustfund</w:t>
        </w:r>
      </w:hyperlink>
      <w:r w:rsidRPr="00CA1B43">
        <w:rPr>
          <w:rFonts w:ascii="Sylfaen" w:hAnsi="Sylfaen"/>
          <w:szCs w:val="20"/>
          <w:lang w:val="hy-AM"/>
        </w:rPr>
        <w:t>) աջակցությամբ: Այն որևէ կերպ չի պարտավորեցնում Դատարանին: Ավելին իմանալու համար ծանոթացեք սույն փաստաթղթի վերջում ներկայացված հեղինակային իրավունքի վերաբերյալ նշումներին:</w:t>
      </w:r>
    </w:p>
    <w:p w:rsidR="00922AF3" w:rsidRPr="00CA1B43" w:rsidRDefault="00922AF3" w:rsidP="00922AF3">
      <w:pPr>
        <w:ind w:right="-45"/>
        <w:jc w:val="both"/>
        <w:rPr>
          <w:rFonts w:ascii="Sylfaen" w:hAnsi="Sylfaen"/>
          <w:szCs w:val="20"/>
          <w:lang w:val="en-US"/>
        </w:rPr>
      </w:pPr>
    </w:p>
    <w:p w:rsidR="00922AF3" w:rsidRPr="00CA1B43" w:rsidRDefault="00922AF3" w:rsidP="00922AF3">
      <w:pPr>
        <w:ind w:right="-45"/>
        <w:jc w:val="both"/>
        <w:rPr>
          <w:rFonts w:ascii="Sylfaen" w:hAnsi="Sylfaen" w:cs="Arial"/>
          <w:szCs w:val="20"/>
          <w:lang w:val="en-US"/>
        </w:rPr>
      </w:pPr>
      <w:proofErr w:type="gramStart"/>
      <w:r w:rsidRPr="00CA1B43">
        <w:rPr>
          <w:rFonts w:ascii="Sylfaen" w:hAnsi="Sylfaen"/>
          <w:szCs w:val="20"/>
          <w:lang w:val="en-US"/>
        </w:rPr>
        <w:t>© Council of Europe/European Court of Human Rights, 201</w:t>
      </w:r>
      <w:r w:rsidRPr="00CA1B43">
        <w:rPr>
          <w:rFonts w:ascii="Sylfaen" w:hAnsi="Sylfaen"/>
          <w:szCs w:val="20"/>
          <w:lang w:val="hy-AM"/>
        </w:rPr>
        <w:t>3</w:t>
      </w:r>
      <w:r w:rsidRPr="00CA1B43">
        <w:rPr>
          <w:rFonts w:ascii="Sylfaen" w:hAnsi="Sylfaen"/>
          <w:szCs w:val="20"/>
          <w:lang w:val="en-US"/>
        </w:rPr>
        <w:t>.</w:t>
      </w:r>
      <w:proofErr w:type="gramEnd"/>
      <w:r w:rsidRPr="00CA1B43">
        <w:rPr>
          <w:rFonts w:ascii="Sylfaen" w:hAnsi="Sylfaen"/>
          <w:szCs w:val="20"/>
          <w:lang w:val="en-US"/>
        </w:rPr>
        <w:t xml:space="preserve"> This translation was commissioned with the support of the Human Rights Trust Fund of the Council of Europe (</w:t>
      </w:r>
      <w:hyperlink r:id="rId9" w:tgtFrame="_blank" w:history="1">
        <w:r w:rsidRPr="00CA1B43">
          <w:rPr>
            <w:rFonts w:ascii="Sylfaen" w:hAnsi="Sylfaen"/>
            <w:color w:val="0000FF"/>
            <w:szCs w:val="20"/>
            <w:u w:val="single"/>
            <w:lang w:val="en-US"/>
          </w:rPr>
          <w:t>www.coe.int/humanrightstrustfund</w:t>
        </w:r>
      </w:hyperlink>
      <w:r w:rsidRPr="00CA1B43">
        <w:rPr>
          <w:rFonts w:ascii="Sylfaen" w:hAnsi="Sylfaen"/>
          <w:szCs w:val="20"/>
          <w:lang w:val="en-US"/>
        </w:rPr>
        <w:t>). It does not bind the Court. For further information see the full copyright indication at the end of this document.</w:t>
      </w:r>
    </w:p>
    <w:p w:rsidR="00922AF3" w:rsidRPr="00CA1B43" w:rsidRDefault="00922AF3" w:rsidP="00922AF3">
      <w:pPr>
        <w:ind w:right="-45"/>
        <w:jc w:val="both"/>
        <w:rPr>
          <w:rFonts w:ascii="Sylfaen" w:hAnsi="Sylfaen"/>
          <w:szCs w:val="20"/>
        </w:rPr>
      </w:pPr>
    </w:p>
    <w:p w:rsidR="00922AF3" w:rsidRPr="00CA1B43" w:rsidRDefault="00922AF3" w:rsidP="00922AF3">
      <w:pPr>
        <w:ind w:right="-45"/>
        <w:jc w:val="both"/>
        <w:rPr>
          <w:rStyle w:val="ClinSectionName"/>
          <w:rFonts w:ascii="Sylfaen" w:hAnsi="Sylfaen"/>
          <w:szCs w:val="20"/>
          <w:lang w:val="fr-FR"/>
        </w:rPr>
      </w:pPr>
      <w:r w:rsidRPr="00CA1B43">
        <w:rPr>
          <w:rFonts w:ascii="Sylfaen" w:hAnsi="Sylfaen"/>
          <w:szCs w:val="20"/>
          <w:lang w:val="fr-FR"/>
        </w:rPr>
        <w:t>© Conseil de l</w:t>
      </w:r>
      <w:r w:rsidR="00133BF3">
        <w:rPr>
          <w:rFonts w:ascii="Sylfaen" w:hAnsi="Sylfaen"/>
          <w:szCs w:val="20"/>
          <w:lang w:val="fr-FR"/>
        </w:rPr>
        <w:t>’</w:t>
      </w:r>
      <w:r w:rsidRPr="00CA1B43">
        <w:rPr>
          <w:rFonts w:ascii="Sylfaen" w:hAnsi="Sylfaen"/>
          <w:szCs w:val="20"/>
          <w:lang w:val="fr-FR"/>
        </w:rPr>
        <w:t>Europe/Cour européenne des droits de l</w:t>
      </w:r>
      <w:r w:rsidR="00133BF3">
        <w:rPr>
          <w:rFonts w:ascii="Sylfaen" w:hAnsi="Sylfaen"/>
          <w:szCs w:val="20"/>
          <w:lang w:val="fr-FR"/>
        </w:rPr>
        <w:t>’</w:t>
      </w:r>
      <w:r w:rsidRPr="00CA1B43">
        <w:rPr>
          <w:rFonts w:ascii="Sylfaen" w:hAnsi="Sylfaen"/>
          <w:szCs w:val="20"/>
          <w:lang w:val="fr-FR"/>
        </w:rPr>
        <w:t>homme, 201</w:t>
      </w:r>
      <w:r w:rsidRPr="00CA1B43">
        <w:rPr>
          <w:rFonts w:ascii="Sylfaen" w:hAnsi="Sylfaen"/>
          <w:szCs w:val="20"/>
          <w:lang w:val="hy-AM"/>
        </w:rPr>
        <w:t>3</w:t>
      </w:r>
      <w:r w:rsidRPr="00CA1B43">
        <w:rPr>
          <w:rFonts w:ascii="Sylfaen" w:hAnsi="Sylfaen"/>
          <w:szCs w:val="20"/>
          <w:lang w:val="fr-FR"/>
        </w:rPr>
        <w:t>. La présente traduction a été effectuée avec le soutien du Fonds fiduciaire pour les droits de l</w:t>
      </w:r>
      <w:r w:rsidR="00133BF3">
        <w:rPr>
          <w:rFonts w:ascii="Sylfaen" w:hAnsi="Sylfaen"/>
          <w:szCs w:val="20"/>
          <w:lang w:val="fr-FR"/>
        </w:rPr>
        <w:t>’</w:t>
      </w:r>
      <w:r w:rsidRPr="00CA1B43">
        <w:rPr>
          <w:rFonts w:ascii="Sylfaen" w:hAnsi="Sylfaen"/>
          <w:szCs w:val="20"/>
          <w:lang w:val="fr-FR"/>
        </w:rPr>
        <w:t>homme du Conseil de l</w:t>
      </w:r>
      <w:r w:rsidR="00133BF3">
        <w:rPr>
          <w:rFonts w:ascii="Sylfaen" w:hAnsi="Sylfaen"/>
          <w:szCs w:val="20"/>
          <w:lang w:val="fr-FR"/>
        </w:rPr>
        <w:t>’</w:t>
      </w:r>
      <w:r w:rsidRPr="00CA1B43">
        <w:rPr>
          <w:rFonts w:ascii="Sylfaen" w:hAnsi="Sylfaen"/>
          <w:szCs w:val="20"/>
          <w:lang w:val="fr-FR"/>
        </w:rPr>
        <w:t>Europe (</w:t>
      </w:r>
      <w:hyperlink r:id="rId10" w:tgtFrame="_blank" w:tooltip="http://www.coe.int/humanrightstrustfund" w:history="1">
        <w:r w:rsidRPr="00CA1B43">
          <w:rPr>
            <w:rFonts w:ascii="Sylfaen" w:hAnsi="Sylfaen"/>
            <w:color w:val="0000FF"/>
            <w:szCs w:val="20"/>
            <w:u w:val="single"/>
            <w:lang w:val="fr-FR"/>
          </w:rPr>
          <w:t>www.coe.int/humanrightstrustfund</w:t>
        </w:r>
      </w:hyperlink>
      <w:r w:rsidRPr="00CA1B43">
        <w:rPr>
          <w:rFonts w:ascii="Sylfaen" w:hAnsi="Sylfaen"/>
          <w:szCs w:val="20"/>
          <w:lang w:val="fr-FR"/>
        </w:rPr>
        <w:t>). Elle ne lie pas la Cour. Pour plus de renseignements veuillez lire l</w:t>
      </w:r>
      <w:r w:rsidR="00133BF3">
        <w:rPr>
          <w:rFonts w:ascii="Sylfaen" w:hAnsi="Sylfaen"/>
          <w:szCs w:val="20"/>
          <w:lang w:val="fr-FR"/>
        </w:rPr>
        <w:t>’</w:t>
      </w:r>
      <w:r w:rsidRPr="00CA1B43">
        <w:rPr>
          <w:rFonts w:ascii="Sylfaen" w:hAnsi="Sylfaen"/>
          <w:szCs w:val="20"/>
          <w:lang w:val="fr-FR"/>
        </w:rPr>
        <w:t>indication de copyright/droits d</w:t>
      </w:r>
      <w:r w:rsidR="00133BF3">
        <w:rPr>
          <w:rFonts w:ascii="Sylfaen" w:hAnsi="Sylfaen"/>
          <w:szCs w:val="20"/>
          <w:lang w:val="fr-FR"/>
        </w:rPr>
        <w:t>’</w:t>
      </w:r>
      <w:r w:rsidRPr="00CA1B43">
        <w:rPr>
          <w:rFonts w:ascii="Sylfaen" w:hAnsi="Sylfaen"/>
          <w:szCs w:val="20"/>
          <w:lang w:val="fr-FR"/>
        </w:rPr>
        <w:t>auteur à la fin du présent document.</w:t>
      </w:r>
    </w:p>
    <w:p w:rsidR="00922AF3" w:rsidRPr="00CA1B43" w:rsidRDefault="00922AF3" w:rsidP="00922AF3">
      <w:pPr>
        <w:pStyle w:val="ClinKeyword"/>
        <w:spacing w:after="0" w:afterAutospacing="0"/>
        <w:rPr>
          <w:rFonts w:ascii="Sylfaen" w:hAnsi="Sylfaen"/>
          <w:szCs w:val="20"/>
          <w:lang w:val="fr-FR"/>
        </w:rPr>
      </w:pPr>
    </w:p>
    <w:p w:rsidR="00922AF3" w:rsidRPr="00855FDC" w:rsidRDefault="00922AF3" w:rsidP="00922AF3">
      <w:pPr>
        <w:pStyle w:val="ClinKeyword"/>
        <w:spacing w:after="0" w:afterAutospacing="0"/>
        <w:rPr>
          <w:rFonts w:ascii="Sylfaen" w:hAnsi="Sylfaen"/>
          <w:szCs w:val="20"/>
          <w:lang w:val="fr-FR"/>
        </w:rPr>
      </w:pPr>
    </w:p>
    <w:p w:rsidR="00FC38F5" w:rsidRPr="00855FDC" w:rsidRDefault="00922AF3" w:rsidP="00922AF3">
      <w:pPr>
        <w:pStyle w:val="ClinKeyword"/>
        <w:spacing w:after="0" w:afterAutospacing="0"/>
        <w:rPr>
          <w:rStyle w:val="ClinSectionName"/>
          <w:rFonts w:ascii="Sylfaen" w:hAnsi="Sylfaen"/>
          <w:b w:val="0"/>
          <w:szCs w:val="20"/>
          <w:lang w:val="fr-FR"/>
        </w:rPr>
      </w:pPr>
      <w:bookmarkStart w:id="0" w:name="_GoBack"/>
      <w:r w:rsidRPr="00CA1B43">
        <w:rPr>
          <w:rStyle w:val="ClinSectionName"/>
          <w:rFonts w:ascii="Sylfaen" w:hAnsi="Sylfaen"/>
          <w:b w:val="0"/>
          <w:szCs w:val="20"/>
        </w:rPr>
        <w:t>Մարդու</w:t>
      </w:r>
      <w:r w:rsidRPr="00CA1B43">
        <w:rPr>
          <w:rStyle w:val="ClinSectionName"/>
          <w:rFonts w:ascii="Sylfaen" w:hAnsi="Sylfaen"/>
          <w:b w:val="0"/>
          <w:szCs w:val="20"/>
          <w:lang w:val="fr-FR"/>
        </w:rPr>
        <w:t xml:space="preserve"> </w:t>
      </w:r>
      <w:r w:rsidRPr="00CA1B43">
        <w:rPr>
          <w:rStyle w:val="ClinSectionName"/>
          <w:rFonts w:ascii="Sylfaen" w:hAnsi="Sylfaen"/>
          <w:b w:val="0"/>
          <w:szCs w:val="20"/>
        </w:rPr>
        <w:t>իրավունքների</w:t>
      </w:r>
      <w:r w:rsidRPr="00CA1B43">
        <w:rPr>
          <w:rStyle w:val="ClinSectionName"/>
          <w:rFonts w:ascii="Sylfaen" w:hAnsi="Sylfaen"/>
          <w:b w:val="0"/>
          <w:szCs w:val="20"/>
          <w:lang w:val="fr-FR"/>
        </w:rPr>
        <w:t xml:space="preserve"> </w:t>
      </w:r>
      <w:r w:rsidRPr="00CA1B43">
        <w:rPr>
          <w:rStyle w:val="ClinSectionName"/>
          <w:rFonts w:ascii="Sylfaen" w:hAnsi="Sylfaen"/>
          <w:b w:val="0"/>
          <w:szCs w:val="20"/>
        </w:rPr>
        <w:t>եվրոպական</w:t>
      </w:r>
      <w:r w:rsidRPr="00CA1B43">
        <w:rPr>
          <w:rStyle w:val="ClinSectionName"/>
          <w:rFonts w:ascii="Sylfaen" w:hAnsi="Sylfaen"/>
          <w:b w:val="0"/>
          <w:szCs w:val="20"/>
          <w:lang w:val="fr-FR"/>
        </w:rPr>
        <w:t xml:space="preserve"> </w:t>
      </w:r>
      <w:r w:rsidRPr="00CA1B43">
        <w:rPr>
          <w:rStyle w:val="ClinSectionName"/>
          <w:rFonts w:ascii="Sylfaen" w:hAnsi="Sylfaen"/>
          <w:b w:val="0"/>
          <w:szCs w:val="20"/>
        </w:rPr>
        <w:t>դատարանի</w:t>
      </w:r>
      <w:r w:rsidRPr="00CA1B43">
        <w:rPr>
          <w:rStyle w:val="ClinSectionName"/>
          <w:rFonts w:ascii="Sylfaen" w:hAnsi="Sylfaen"/>
          <w:b w:val="0"/>
          <w:szCs w:val="20"/>
          <w:lang w:val="fr-FR"/>
        </w:rPr>
        <w:t xml:space="preserve"> </w:t>
      </w:r>
      <w:r w:rsidRPr="00CA1B43">
        <w:rPr>
          <w:rStyle w:val="ClinSectionName"/>
          <w:rFonts w:ascii="Sylfaen" w:hAnsi="Sylfaen"/>
          <w:b w:val="0"/>
          <w:szCs w:val="20"/>
        </w:rPr>
        <w:t>նախադեպային</w:t>
      </w:r>
      <w:r w:rsidRPr="00CA1B43">
        <w:rPr>
          <w:rStyle w:val="ClinSectionName"/>
          <w:rFonts w:ascii="Sylfaen" w:hAnsi="Sylfaen"/>
          <w:b w:val="0"/>
          <w:szCs w:val="20"/>
          <w:lang w:val="fr-FR"/>
        </w:rPr>
        <w:t xml:space="preserve"> </w:t>
      </w:r>
      <w:r w:rsidRPr="00CA1B43">
        <w:rPr>
          <w:rStyle w:val="ClinSectionName"/>
          <w:rFonts w:ascii="Sylfaen" w:hAnsi="Sylfaen"/>
          <w:b w:val="0"/>
          <w:szCs w:val="20"/>
        </w:rPr>
        <w:t>տեղեկատու</w:t>
      </w:r>
      <w:r w:rsidRPr="00CA1B43">
        <w:rPr>
          <w:rStyle w:val="ClinSectionName"/>
          <w:rFonts w:ascii="Sylfaen" w:hAnsi="Sylfaen"/>
          <w:b w:val="0"/>
          <w:szCs w:val="20"/>
          <w:lang w:val="fr-FR"/>
        </w:rPr>
        <w:t xml:space="preserve"> </w:t>
      </w:r>
      <w:r w:rsidR="00741C3D" w:rsidRPr="00CA1B43">
        <w:rPr>
          <w:rStyle w:val="ClinSectionName"/>
          <w:rFonts w:ascii="Sylfaen" w:hAnsi="Sylfaen"/>
          <w:b w:val="0"/>
          <w:szCs w:val="20"/>
        </w:rPr>
        <w:t>թիվ</w:t>
      </w:r>
      <w:r w:rsidR="00FC38F5" w:rsidRPr="00855FDC">
        <w:rPr>
          <w:rStyle w:val="ClinSectionName"/>
          <w:rFonts w:ascii="Sylfaen" w:hAnsi="Sylfaen"/>
          <w:b w:val="0"/>
          <w:szCs w:val="20"/>
          <w:lang w:val="fr-FR"/>
        </w:rPr>
        <w:t xml:space="preserve"> 72</w:t>
      </w:r>
    </w:p>
    <w:p w:rsidR="00922AF3" w:rsidRPr="00855FDC" w:rsidRDefault="00922AF3" w:rsidP="00922AF3">
      <w:pPr>
        <w:pStyle w:val="ClinEditionMonth"/>
        <w:spacing w:after="0"/>
        <w:rPr>
          <w:rFonts w:ascii="Sylfaen" w:hAnsi="Sylfaen"/>
          <w:szCs w:val="20"/>
          <w:lang w:val="fr-FR"/>
        </w:rPr>
      </w:pPr>
    </w:p>
    <w:p w:rsidR="00FC38F5" w:rsidRPr="00855FDC" w:rsidRDefault="00922AF3" w:rsidP="00922AF3">
      <w:pPr>
        <w:pStyle w:val="ClinEditionMonth"/>
        <w:spacing w:after="0"/>
        <w:rPr>
          <w:rFonts w:ascii="Sylfaen" w:hAnsi="Sylfaen"/>
          <w:szCs w:val="20"/>
          <w:lang w:val="fr-FR"/>
        </w:rPr>
      </w:pPr>
      <w:r w:rsidRPr="00855FDC">
        <w:rPr>
          <w:rFonts w:ascii="Sylfaen" w:hAnsi="Sylfaen"/>
          <w:szCs w:val="20"/>
          <w:lang w:val="fr-FR"/>
        </w:rPr>
        <w:t>2</w:t>
      </w:r>
      <w:r w:rsidR="00FC38F5" w:rsidRPr="00855FDC">
        <w:rPr>
          <w:rFonts w:ascii="Sylfaen" w:hAnsi="Sylfaen"/>
          <w:szCs w:val="20"/>
          <w:lang w:val="fr-FR"/>
        </w:rPr>
        <w:t>005</w:t>
      </w:r>
      <w:r w:rsidR="00832A25" w:rsidRPr="00CA1B43">
        <w:rPr>
          <w:rFonts w:ascii="Sylfaen" w:hAnsi="Sylfaen"/>
          <w:szCs w:val="20"/>
        </w:rPr>
        <w:t>թ</w:t>
      </w:r>
      <w:r w:rsidR="00832A25" w:rsidRPr="00855FDC">
        <w:rPr>
          <w:rFonts w:ascii="Sylfaen" w:hAnsi="Sylfaen"/>
          <w:szCs w:val="20"/>
          <w:lang w:val="fr-FR"/>
        </w:rPr>
        <w:t>.</w:t>
      </w:r>
      <w:r w:rsidRPr="00855FDC">
        <w:rPr>
          <w:rFonts w:ascii="Sylfaen" w:hAnsi="Sylfaen"/>
          <w:szCs w:val="20"/>
          <w:lang w:val="fr-FR"/>
        </w:rPr>
        <w:t xml:space="preserve"> </w:t>
      </w:r>
      <w:r w:rsidRPr="00CA1B43">
        <w:rPr>
          <w:rFonts w:ascii="Sylfaen" w:hAnsi="Sylfaen"/>
          <w:szCs w:val="20"/>
        </w:rPr>
        <w:t>փետրվար</w:t>
      </w:r>
    </w:p>
    <w:p w:rsidR="00922AF3" w:rsidRPr="00855FDC" w:rsidRDefault="00922AF3" w:rsidP="00922AF3">
      <w:pPr>
        <w:rPr>
          <w:rStyle w:val="ClinCaseTitle"/>
          <w:rFonts w:ascii="Sylfaen" w:hAnsi="Sylfaen"/>
          <w:sz w:val="20"/>
          <w:szCs w:val="20"/>
          <w:lang w:val="fr-FR"/>
        </w:rPr>
      </w:pPr>
    </w:p>
    <w:p w:rsidR="00FC38F5" w:rsidRPr="00855FDC" w:rsidRDefault="00FC38F5" w:rsidP="00922AF3">
      <w:pPr>
        <w:rPr>
          <w:rStyle w:val="ClinApplicationNumber"/>
          <w:rFonts w:ascii="Sylfaen" w:hAnsi="Sylfaen"/>
          <w:lang w:val="fr-FR"/>
        </w:rPr>
      </w:pPr>
      <w:r w:rsidRPr="00855FDC">
        <w:rPr>
          <w:rStyle w:val="ClinCaseTitle"/>
          <w:rFonts w:ascii="Sylfaen" w:hAnsi="Sylfaen"/>
          <w:lang w:val="fr-FR"/>
        </w:rPr>
        <w:t>Steel</w:t>
      </w:r>
      <w:r w:rsidR="00832A25" w:rsidRPr="00855FDC">
        <w:rPr>
          <w:rStyle w:val="ClinCaseTitle"/>
          <w:rFonts w:ascii="Sylfaen" w:hAnsi="Sylfaen"/>
          <w:lang w:val="fr-FR"/>
        </w:rPr>
        <w:t>-</w:t>
      </w:r>
      <w:r w:rsidR="00832A25" w:rsidRPr="00855FDC">
        <w:rPr>
          <w:rStyle w:val="ClinCaseTitle"/>
          <w:rFonts w:ascii="Sylfaen" w:hAnsi="Sylfaen"/>
        </w:rPr>
        <w:t>ը</w:t>
      </w:r>
      <w:r w:rsidR="00832A25" w:rsidRPr="00855FDC">
        <w:rPr>
          <w:rStyle w:val="ClinCaseTitle"/>
          <w:rFonts w:ascii="Sylfaen" w:hAnsi="Sylfaen"/>
          <w:lang w:val="fr-FR"/>
        </w:rPr>
        <w:t xml:space="preserve"> </w:t>
      </w:r>
      <w:r w:rsidR="00832A25" w:rsidRPr="00855FDC">
        <w:rPr>
          <w:rStyle w:val="ClinCaseTitle"/>
          <w:rFonts w:ascii="Sylfaen" w:hAnsi="Sylfaen"/>
        </w:rPr>
        <w:t>և</w:t>
      </w:r>
      <w:r w:rsidR="00832A25" w:rsidRPr="00855FDC">
        <w:rPr>
          <w:rStyle w:val="ClinCaseTitle"/>
          <w:rFonts w:ascii="Sylfaen" w:hAnsi="Sylfaen"/>
          <w:lang w:val="fr-FR"/>
        </w:rPr>
        <w:t xml:space="preserve"> </w:t>
      </w:r>
      <w:r w:rsidRPr="00855FDC">
        <w:rPr>
          <w:rStyle w:val="ClinCaseTitle"/>
          <w:rFonts w:ascii="Sylfaen" w:hAnsi="Sylfaen"/>
          <w:lang w:val="fr-FR"/>
        </w:rPr>
        <w:t>Morris</w:t>
      </w:r>
      <w:r w:rsidR="00832A25" w:rsidRPr="00855FDC">
        <w:rPr>
          <w:rStyle w:val="ClinCaseTitle"/>
          <w:rFonts w:ascii="Sylfaen" w:hAnsi="Sylfaen"/>
          <w:lang w:val="fr-FR"/>
        </w:rPr>
        <w:t>-</w:t>
      </w:r>
      <w:r w:rsidR="00832A25" w:rsidRPr="00855FDC">
        <w:rPr>
          <w:rStyle w:val="ClinCaseTitle"/>
          <w:rFonts w:ascii="Sylfaen" w:hAnsi="Sylfaen"/>
        </w:rPr>
        <w:t>ն</w:t>
      </w:r>
      <w:r w:rsidR="00832A25" w:rsidRPr="00855FDC">
        <w:rPr>
          <w:rStyle w:val="ClinCaseTitle"/>
          <w:rFonts w:ascii="Sylfaen" w:hAnsi="Sylfaen"/>
          <w:lang w:val="fr-FR"/>
        </w:rPr>
        <w:t xml:space="preserve"> </w:t>
      </w:r>
      <w:r w:rsidR="00832A25" w:rsidRPr="00855FDC">
        <w:rPr>
          <w:rStyle w:val="ClinCaseTitle"/>
          <w:rFonts w:ascii="Sylfaen" w:hAnsi="Sylfaen"/>
        </w:rPr>
        <w:t>ընդդեմ</w:t>
      </w:r>
      <w:r w:rsidR="00832A25" w:rsidRPr="00855FDC">
        <w:rPr>
          <w:rStyle w:val="ClinCaseTitle"/>
          <w:rFonts w:ascii="Sylfaen" w:hAnsi="Sylfaen"/>
          <w:lang w:val="fr-FR"/>
        </w:rPr>
        <w:t xml:space="preserve"> </w:t>
      </w:r>
      <w:r w:rsidR="00832A25" w:rsidRPr="00855FDC">
        <w:rPr>
          <w:rStyle w:val="ClinCaseTitle"/>
          <w:rFonts w:ascii="Sylfaen" w:hAnsi="Sylfaen"/>
        </w:rPr>
        <w:t>Միացյալ</w:t>
      </w:r>
      <w:r w:rsidR="00832A25" w:rsidRPr="00855FDC">
        <w:rPr>
          <w:rStyle w:val="ClinCaseTitle"/>
          <w:rFonts w:ascii="Sylfaen" w:hAnsi="Sylfaen"/>
          <w:lang w:val="fr-FR"/>
        </w:rPr>
        <w:t xml:space="preserve"> </w:t>
      </w:r>
      <w:r w:rsidR="00832A25" w:rsidRPr="00855FDC">
        <w:rPr>
          <w:rStyle w:val="ClinCaseTitle"/>
          <w:rFonts w:ascii="Sylfaen" w:hAnsi="Sylfaen"/>
        </w:rPr>
        <w:t>Թագավորության</w:t>
      </w:r>
      <w:r w:rsidRPr="00855FDC">
        <w:rPr>
          <w:rStyle w:val="ClinApplicationNumber"/>
          <w:rFonts w:ascii="Sylfaen" w:hAnsi="Sylfaen"/>
          <w:lang w:val="fr-FR"/>
        </w:rPr>
        <w:t xml:space="preserve"> - 68416/01</w:t>
      </w:r>
    </w:p>
    <w:p w:rsidR="00FC38F5" w:rsidRPr="00855FDC" w:rsidRDefault="00832A25" w:rsidP="00922AF3">
      <w:pPr>
        <w:rPr>
          <w:rStyle w:val="ClinSectionName"/>
          <w:rFonts w:ascii="Sylfaen" w:hAnsi="Sylfaen"/>
          <w:sz w:val="24"/>
          <w:lang w:val="fr-FR"/>
        </w:rPr>
      </w:pPr>
      <w:r w:rsidRPr="00855FDC">
        <w:rPr>
          <w:rStyle w:val="ClinHudocDocumentTitle"/>
          <w:rFonts w:ascii="Sylfaen" w:hAnsi="Sylfaen"/>
          <w:sz w:val="24"/>
        </w:rPr>
        <w:t>Վճիռ</w:t>
      </w:r>
      <w:r w:rsidR="00FC38F5" w:rsidRPr="00855FDC">
        <w:rPr>
          <w:rStyle w:val="ClinHudocDocumentTitle"/>
          <w:rFonts w:ascii="Sylfaen" w:hAnsi="Sylfaen"/>
          <w:sz w:val="24"/>
          <w:lang w:val="fr-FR"/>
        </w:rPr>
        <w:t xml:space="preserve"> 15.2.2005</w:t>
      </w:r>
      <w:bookmarkEnd w:id="0"/>
      <w:r w:rsidR="00FC38F5" w:rsidRPr="00855FDC">
        <w:rPr>
          <w:rStyle w:val="ClinSectionName"/>
          <w:rFonts w:ascii="Sylfaen" w:hAnsi="Sylfaen"/>
          <w:sz w:val="24"/>
          <w:lang w:val="fr-FR"/>
        </w:rPr>
        <w:t xml:space="preserve"> [</w:t>
      </w:r>
      <w:r w:rsidR="00922AF3" w:rsidRPr="00855FDC">
        <w:rPr>
          <w:rStyle w:val="ClinSectionName"/>
          <w:rFonts w:ascii="Sylfaen" w:hAnsi="Sylfaen"/>
          <w:sz w:val="24"/>
        </w:rPr>
        <w:t>Բաժանմունք</w:t>
      </w:r>
      <w:r w:rsidR="00FC38F5" w:rsidRPr="00855FDC">
        <w:rPr>
          <w:rStyle w:val="ClinSectionName"/>
          <w:rFonts w:ascii="Sylfaen" w:hAnsi="Sylfaen"/>
          <w:sz w:val="24"/>
          <w:lang w:val="fr-FR"/>
        </w:rPr>
        <w:t xml:space="preserve"> IV]</w:t>
      </w:r>
    </w:p>
    <w:p w:rsidR="00922AF3" w:rsidRPr="00855FDC" w:rsidRDefault="00922AF3" w:rsidP="00922AF3">
      <w:pPr>
        <w:pStyle w:val="ClinMainKeywordCode"/>
        <w:spacing w:before="0" w:after="0"/>
        <w:rPr>
          <w:rFonts w:ascii="Sylfaen" w:hAnsi="Sylfaen"/>
          <w:szCs w:val="24"/>
          <w:lang w:val="fr-FR"/>
        </w:rPr>
      </w:pPr>
    </w:p>
    <w:p w:rsidR="00FC38F5" w:rsidRPr="00855FDC" w:rsidRDefault="00832A25" w:rsidP="00922AF3">
      <w:pPr>
        <w:pStyle w:val="ClinMainKeywordCode"/>
        <w:spacing w:before="0" w:after="0"/>
        <w:rPr>
          <w:rFonts w:ascii="Sylfaen" w:hAnsi="Sylfaen"/>
          <w:szCs w:val="24"/>
          <w:lang w:val="fr-FR"/>
        </w:rPr>
      </w:pPr>
      <w:r w:rsidRPr="00855FDC">
        <w:rPr>
          <w:rFonts w:ascii="Sylfaen" w:hAnsi="Sylfaen"/>
          <w:szCs w:val="24"/>
        </w:rPr>
        <w:t>Հոդված</w:t>
      </w:r>
      <w:r w:rsidR="00FC38F5" w:rsidRPr="00855FDC">
        <w:rPr>
          <w:rFonts w:ascii="Sylfaen" w:hAnsi="Sylfaen"/>
          <w:szCs w:val="24"/>
          <w:lang w:val="fr-FR"/>
        </w:rPr>
        <w:t xml:space="preserve"> 6</w:t>
      </w:r>
    </w:p>
    <w:p w:rsidR="00922AF3" w:rsidRPr="00855FDC" w:rsidRDefault="00922AF3" w:rsidP="00922AF3">
      <w:pPr>
        <w:pStyle w:val="ClinKeyword"/>
        <w:spacing w:after="0" w:afterAutospacing="0"/>
        <w:rPr>
          <w:rFonts w:ascii="Sylfaen" w:hAnsi="Sylfaen"/>
          <w:sz w:val="24"/>
          <w:lang w:val="fr-FR"/>
        </w:rPr>
      </w:pPr>
    </w:p>
    <w:p w:rsidR="00FC38F5" w:rsidRPr="00855FDC" w:rsidRDefault="00832A25" w:rsidP="00922AF3">
      <w:pPr>
        <w:pStyle w:val="ClinKeyword"/>
        <w:spacing w:after="0" w:afterAutospacing="0"/>
        <w:rPr>
          <w:rFonts w:ascii="Sylfaen" w:hAnsi="Sylfaen"/>
          <w:sz w:val="24"/>
          <w:lang w:val="fr-FR"/>
        </w:rPr>
      </w:pPr>
      <w:r w:rsidRPr="00855FDC">
        <w:rPr>
          <w:rFonts w:ascii="Sylfaen" w:hAnsi="Sylfaen"/>
          <w:sz w:val="24"/>
        </w:rPr>
        <w:t>Քաղաքացիական</w:t>
      </w:r>
      <w:r w:rsidRPr="00855FDC">
        <w:rPr>
          <w:rFonts w:ascii="Sylfaen" w:hAnsi="Sylfaen"/>
          <w:sz w:val="24"/>
          <w:lang w:val="fr-FR"/>
        </w:rPr>
        <w:t xml:space="preserve"> </w:t>
      </w:r>
      <w:r w:rsidRPr="00855FDC">
        <w:rPr>
          <w:rFonts w:ascii="Sylfaen" w:hAnsi="Sylfaen"/>
          <w:sz w:val="24"/>
        </w:rPr>
        <w:t>դատավարություն</w:t>
      </w:r>
    </w:p>
    <w:p w:rsidR="00922AF3" w:rsidRPr="00855FDC" w:rsidRDefault="00922AF3" w:rsidP="00922AF3">
      <w:pPr>
        <w:pStyle w:val="ClinChildKeywordCode"/>
        <w:spacing w:after="0"/>
        <w:rPr>
          <w:rFonts w:ascii="Sylfaen" w:hAnsi="Sylfaen"/>
          <w:sz w:val="24"/>
          <w:szCs w:val="24"/>
          <w:lang w:val="fr-FR"/>
        </w:rPr>
      </w:pPr>
    </w:p>
    <w:p w:rsidR="00FC38F5" w:rsidRPr="00855FDC" w:rsidRDefault="00832A25" w:rsidP="00922AF3">
      <w:pPr>
        <w:pStyle w:val="ClinChildKeywordCode"/>
        <w:spacing w:after="0"/>
        <w:rPr>
          <w:rFonts w:ascii="Sylfaen" w:hAnsi="Sylfaen"/>
          <w:sz w:val="24"/>
          <w:szCs w:val="24"/>
          <w:lang w:val="fr-FR"/>
        </w:rPr>
      </w:pPr>
      <w:r w:rsidRPr="00855FDC">
        <w:rPr>
          <w:rFonts w:ascii="Sylfaen" w:hAnsi="Sylfaen"/>
          <w:sz w:val="24"/>
          <w:szCs w:val="24"/>
        </w:rPr>
        <w:t>Հոդված</w:t>
      </w:r>
      <w:r w:rsidRPr="00855FDC">
        <w:rPr>
          <w:rFonts w:ascii="Sylfaen" w:hAnsi="Sylfaen"/>
          <w:sz w:val="24"/>
          <w:szCs w:val="24"/>
          <w:lang w:val="fr-FR"/>
        </w:rPr>
        <w:t xml:space="preserve"> </w:t>
      </w:r>
      <w:r w:rsidR="00FC38F5" w:rsidRPr="00855FDC">
        <w:rPr>
          <w:rFonts w:ascii="Sylfaen" w:hAnsi="Sylfaen"/>
          <w:sz w:val="24"/>
          <w:szCs w:val="24"/>
          <w:lang w:val="fr-FR"/>
        </w:rPr>
        <w:t>6-1</w:t>
      </w:r>
    </w:p>
    <w:p w:rsidR="00922AF3" w:rsidRPr="00855FDC" w:rsidRDefault="00922AF3" w:rsidP="00922AF3">
      <w:pPr>
        <w:pStyle w:val="ClinKeyword"/>
        <w:spacing w:after="0" w:afterAutospacing="0"/>
        <w:rPr>
          <w:rFonts w:ascii="Sylfaen" w:hAnsi="Sylfaen"/>
          <w:sz w:val="24"/>
          <w:lang w:val="fr-FR"/>
        </w:rPr>
      </w:pPr>
    </w:p>
    <w:p w:rsidR="00FC38F5" w:rsidRPr="00855FDC" w:rsidRDefault="00832A25" w:rsidP="00922AF3">
      <w:pPr>
        <w:pStyle w:val="ClinKeyword"/>
        <w:spacing w:after="0" w:afterAutospacing="0"/>
        <w:rPr>
          <w:rFonts w:ascii="Sylfaen" w:hAnsi="Sylfaen"/>
          <w:sz w:val="24"/>
          <w:lang w:val="fr-FR"/>
        </w:rPr>
      </w:pPr>
      <w:r w:rsidRPr="00855FDC">
        <w:rPr>
          <w:rFonts w:ascii="Sylfaen" w:hAnsi="Sylfaen"/>
          <w:sz w:val="24"/>
        </w:rPr>
        <w:t>Արդար</w:t>
      </w:r>
      <w:r w:rsidR="00922AF3" w:rsidRPr="00855FDC">
        <w:rPr>
          <w:rFonts w:ascii="Sylfaen" w:hAnsi="Sylfaen"/>
          <w:sz w:val="24"/>
        </w:rPr>
        <w:t>ացի</w:t>
      </w:r>
      <w:r w:rsidR="00922AF3" w:rsidRPr="00855FDC">
        <w:rPr>
          <w:rFonts w:ascii="Sylfaen" w:hAnsi="Sylfaen"/>
          <w:sz w:val="24"/>
          <w:lang w:val="fr-FR"/>
        </w:rPr>
        <w:t xml:space="preserve"> </w:t>
      </w:r>
      <w:r w:rsidRPr="00855FDC">
        <w:rPr>
          <w:rFonts w:ascii="Sylfaen" w:hAnsi="Sylfaen"/>
          <w:sz w:val="24"/>
        </w:rPr>
        <w:t>դատա</w:t>
      </w:r>
      <w:r w:rsidR="00922AF3" w:rsidRPr="00855FDC">
        <w:rPr>
          <w:rFonts w:ascii="Sylfaen" w:hAnsi="Sylfaen"/>
          <w:sz w:val="24"/>
        </w:rPr>
        <w:t>քննության</w:t>
      </w:r>
      <w:r w:rsidR="00922AF3" w:rsidRPr="00855FDC">
        <w:rPr>
          <w:rFonts w:ascii="Sylfaen" w:hAnsi="Sylfaen"/>
          <w:sz w:val="24"/>
          <w:lang w:val="fr-FR"/>
        </w:rPr>
        <w:t xml:space="preserve"> </w:t>
      </w:r>
      <w:r w:rsidRPr="00855FDC">
        <w:rPr>
          <w:rFonts w:ascii="Sylfaen" w:hAnsi="Sylfaen"/>
          <w:sz w:val="24"/>
        </w:rPr>
        <w:t>իրավունք</w:t>
      </w:r>
    </w:p>
    <w:p w:rsidR="00922AF3" w:rsidRPr="00855FDC" w:rsidRDefault="00922AF3" w:rsidP="00922AF3">
      <w:pPr>
        <w:rPr>
          <w:rStyle w:val="ClinHeadNote"/>
          <w:rFonts w:ascii="Sylfaen" w:hAnsi="Sylfaen"/>
          <w:sz w:val="24"/>
          <w:lang w:val="fr-FR"/>
        </w:rPr>
      </w:pPr>
    </w:p>
    <w:p w:rsidR="00FC38F5" w:rsidRPr="00855FDC" w:rsidRDefault="00F87D1E" w:rsidP="00922AF3">
      <w:pPr>
        <w:rPr>
          <w:rStyle w:val="ClinConclusions"/>
          <w:rFonts w:ascii="Sylfaen" w:hAnsi="Sylfaen"/>
          <w:sz w:val="24"/>
          <w:lang w:val="fr-FR"/>
        </w:rPr>
      </w:pPr>
      <w:proofErr w:type="gramStart"/>
      <w:r w:rsidRPr="00855FDC">
        <w:rPr>
          <w:rStyle w:val="ClinHeadNote"/>
          <w:rFonts w:ascii="Sylfaen" w:hAnsi="Sylfaen"/>
          <w:sz w:val="24"/>
        </w:rPr>
        <w:t>Զրպարտության</w:t>
      </w:r>
      <w:r w:rsidRPr="00855FDC">
        <w:rPr>
          <w:rStyle w:val="ClinHeadNote"/>
          <w:rFonts w:ascii="Sylfaen" w:hAnsi="Sylfaen"/>
          <w:sz w:val="24"/>
          <w:lang w:val="fr-FR"/>
        </w:rPr>
        <w:t xml:space="preserve"> </w:t>
      </w:r>
      <w:r w:rsidRPr="00855FDC">
        <w:rPr>
          <w:rStyle w:val="ClinHeadNote"/>
          <w:rFonts w:ascii="Sylfaen" w:hAnsi="Sylfaen"/>
          <w:sz w:val="24"/>
        </w:rPr>
        <w:t>գործով</w:t>
      </w:r>
      <w:r w:rsidRPr="00855FDC">
        <w:rPr>
          <w:rStyle w:val="ClinHeadNote"/>
          <w:rFonts w:ascii="Sylfaen" w:hAnsi="Sylfaen"/>
          <w:sz w:val="24"/>
          <w:lang w:val="fr-FR"/>
        </w:rPr>
        <w:t xml:space="preserve"> </w:t>
      </w:r>
      <w:r w:rsidRPr="00855FDC">
        <w:rPr>
          <w:rStyle w:val="ClinHeadNote"/>
          <w:rFonts w:ascii="Sylfaen" w:hAnsi="Sylfaen"/>
          <w:sz w:val="24"/>
        </w:rPr>
        <w:t>դատավարության</w:t>
      </w:r>
      <w:r w:rsidRPr="00855FDC">
        <w:rPr>
          <w:rStyle w:val="ClinHeadNote"/>
          <w:rFonts w:ascii="Sylfaen" w:hAnsi="Sylfaen"/>
          <w:sz w:val="24"/>
          <w:lang w:val="fr-FR"/>
        </w:rPr>
        <w:t xml:space="preserve"> </w:t>
      </w:r>
      <w:r w:rsidR="00886189" w:rsidRPr="00855FDC">
        <w:rPr>
          <w:rStyle w:val="ClinHeadNote"/>
          <w:rFonts w:ascii="Sylfaen" w:hAnsi="Sylfaen"/>
          <w:sz w:val="24"/>
        </w:rPr>
        <w:t>ժամանակ</w:t>
      </w:r>
      <w:r w:rsidR="00886189" w:rsidRPr="00855FDC">
        <w:rPr>
          <w:rStyle w:val="ClinHeadNote"/>
          <w:rFonts w:ascii="Sylfaen" w:hAnsi="Sylfaen"/>
          <w:sz w:val="24"/>
          <w:lang w:val="fr-FR"/>
        </w:rPr>
        <w:t xml:space="preserve"> </w:t>
      </w:r>
      <w:r w:rsidR="00922AF3" w:rsidRPr="00855FDC">
        <w:rPr>
          <w:rStyle w:val="ClinHeadNote"/>
          <w:rFonts w:ascii="Sylfaen" w:hAnsi="Sylfaen"/>
          <w:sz w:val="24"/>
        </w:rPr>
        <w:t>իրավ</w:t>
      </w:r>
      <w:r w:rsidR="00F42B78" w:rsidRPr="00855FDC">
        <w:rPr>
          <w:rStyle w:val="ClinHeadNote"/>
          <w:rFonts w:ascii="Sylfaen" w:hAnsi="Sylfaen"/>
          <w:sz w:val="24"/>
        </w:rPr>
        <w:t>աբանական</w:t>
      </w:r>
      <w:r w:rsidR="00F42B78" w:rsidRPr="00855FDC">
        <w:rPr>
          <w:rStyle w:val="ClinHeadNote"/>
          <w:rFonts w:ascii="Sylfaen" w:hAnsi="Sylfaen"/>
          <w:sz w:val="24"/>
          <w:lang w:val="fr-FR"/>
        </w:rPr>
        <w:t xml:space="preserve"> </w:t>
      </w:r>
      <w:r w:rsidR="00F42B78" w:rsidRPr="00855FDC">
        <w:rPr>
          <w:rStyle w:val="ClinHeadNote"/>
          <w:rFonts w:ascii="Sylfaen" w:hAnsi="Sylfaen"/>
          <w:sz w:val="24"/>
        </w:rPr>
        <w:t>օգնություն</w:t>
      </w:r>
      <w:r w:rsidR="00F42B78" w:rsidRPr="00855FDC">
        <w:rPr>
          <w:rStyle w:val="ClinHeadNote"/>
          <w:rFonts w:ascii="Sylfaen" w:hAnsi="Sylfaen"/>
          <w:sz w:val="24"/>
          <w:lang w:val="fr-FR"/>
        </w:rPr>
        <w:t xml:space="preserve"> </w:t>
      </w:r>
      <w:r w:rsidR="00F42B78" w:rsidRPr="00855FDC">
        <w:rPr>
          <w:rStyle w:val="ClinHeadNote"/>
          <w:rFonts w:ascii="Sylfaen" w:hAnsi="Sylfaen"/>
          <w:sz w:val="24"/>
        </w:rPr>
        <w:t>չտրամադրելը</w:t>
      </w:r>
      <w:r w:rsidR="00F42B78" w:rsidRPr="00855FDC">
        <w:rPr>
          <w:rStyle w:val="ClinHeadNote"/>
          <w:rFonts w:ascii="Sylfaen" w:hAnsi="Sylfaen"/>
          <w:sz w:val="24"/>
          <w:lang w:val="fr-FR"/>
        </w:rPr>
        <w:t>.</w:t>
      </w:r>
      <w:proofErr w:type="gramEnd"/>
      <w:r w:rsidR="002C06DC" w:rsidRPr="00855FDC">
        <w:rPr>
          <w:rStyle w:val="ClinHeadNote"/>
          <w:rFonts w:ascii="Sylfaen" w:hAnsi="Sylfaen"/>
          <w:sz w:val="24"/>
          <w:lang w:val="fr-FR"/>
        </w:rPr>
        <w:t xml:space="preserve"> </w:t>
      </w:r>
      <w:proofErr w:type="gramStart"/>
      <w:r w:rsidR="00886189" w:rsidRPr="00855FDC">
        <w:rPr>
          <w:rStyle w:val="ClinHeadNote"/>
          <w:rFonts w:ascii="Sylfaen" w:hAnsi="Sylfaen"/>
          <w:i/>
          <w:sz w:val="24"/>
        </w:rPr>
        <w:t>խախտում</w:t>
      </w:r>
      <w:proofErr w:type="gramEnd"/>
    </w:p>
    <w:p w:rsidR="00FC38F5" w:rsidRPr="00855FDC" w:rsidRDefault="00FC38F5" w:rsidP="00922AF3">
      <w:pPr>
        <w:rPr>
          <w:rStyle w:val="ClinConclusions"/>
          <w:rFonts w:ascii="Sylfaen" w:hAnsi="Sylfaen"/>
          <w:sz w:val="24"/>
          <w:lang w:val="fr-FR"/>
        </w:rPr>
      </w:pPr>
    </w:p>
    <w:p w:rsidR="00922AF3" w:rsidRPr="00855FDC" w:rsidRDefault="00922AF3" w:rsidP="00922AF3">
      <w:pPr>
        <w:rPr>
          <w:rStyle w:val="ClinConclusions"/>
          <w:rFonts w:ascii="Sylfaen" w:hAnsi="Sylfaen"/>
          <w:sz w:val="24"/>
          <w:lang w:val="fr-FR"/>
        </w:rPr>
      </w:pPr>
    </w:p>
    <w:p w:rsidR="00FC38F5" w:rsidRPr="00855FDC" w:rsidRDefault="00832A25" w:rsidP="00922AF3">
      <w:pPr>
        <w:pStyle w:val="ClinMainKeywordCode"/>
        <w:spacing w:before="0" w:after="0"/>
        <w:rPr>
          <w:rFonts w:ascii="Sylfaen" w:hAnsi="Sylfaen"/>
          <w:szCs w:val="24"/>
          <w:lang w:val="fr-FR"/>
        </w:rPr>
      </w:pPr>
      <w:r w:rsidRPr="00855FDC">
        <w:rPr>
          <w:rFonts w:ascii="Sylfaen" w:hAnsi="Sylfaen"/>
          <w:szCs w:val="24"/>
        </w:rPr>
        <w:t>Հոդված</w:t>
      </w:r>
      <w:r w:rsidR="00CA1B43" w:rsidRPr="00855FDC">
        <w:rPr>
          <w:rFonts w:ascii="Sylfaen" w:hAnsi="Sylfaen"/>
          <w:szCs w:val="24"/>
          <w:lang w:val="fr-FR"/>
        </w:rPr>
        <w:t xml:space="preserve"> </w:t>
      </w:r>
      <w:r w:rsidR="00FC38F5" w:rsidRPr="00855FDC">
        <w:rPr>
          <w:rFonts w:ascii="Sylfaen" w:hAnsi="Sylfaen"/>
          <w:szCs w:val="24"/>
          <w:lang w:val="fr-FR"/>
        </w:rPr>
        <w:t>10</w:t>
      </w:r>
    </w:p>
    <w:p w:rsidR="00922AF3" w:rsidRPr="00855FDC" w:rsidRDefault="00922AF3" w:rsidP="00922AF3">
      <w:pPr>
        <w:pStyle w:val="ClinChildKeywordCode"/>
        <w:spacing w:after="0"/>
        <w:rPr>
          <w:rFonts w:ascii="Sylfaen" w:hAnsi="Sylfaen"/>
          <w:sz w:val="24"/>
          <w:szCs w:val="24"/>
          <w:lang w:val="fr-FR"/>
        </w:rPr>
      </w:pPr>
    </w:p>
    <w:p w:rsidR="00FC38F5" w:rsidRPr="00855FDC" w:rsidRDefault="00832A25" w:rsidP="00922AF3">
      <w:pPr>
        <w:pStyle w:val="ClinChildKeywordCode"/>
        <w:spacing w:after="0"/>
        <w:rPr>
          <w:rFonts w:ascii="Sylfaen" w:hAnsi="Sylfaen"/>
          <w:sz w:val="24"/>
          <w:szCs w:val="24"/>
          <w:lang w:val="fr-FR"/>
        </w:rPr>
      </w:pPr>
      <w:r w:rsidRPr="00855FDC">
        <w:rPr>
          <w:rFonts w:ascii="Sylfaen" w:hAnsi="Sylfaen"/>
          <w:sz w:val="24"/>
          <w:szCs w:val="24"/>
        </w:rPr>
        <w:t>Հոդված</w:t>
      </w:r>
      <w:r w:rsidR="00CA1B43" w:rsidRPr="00855FDC">
        <w:rPr>
          <w:rFonts w:ascii="Sylfaen" w:hAnsi="Sylfaen"/>
          <w:sz w:val="24"/>
          <w:szCs w:val="24"/>
          <w:lang w:val="fr-FR"/>
        </w:rPr>
        <w:t xml:space="preserve"> </w:t>
      </w:r>
      <w:r w:rsidR="00FC38F5" w:rsidRPr="00855FDC">
        <w:rPr>
          <w:rFonts w:ascii="Sylfaen" w:hAnsi="Sylfaen"/>
          <w:sz w:val="24"/>
          <w:szCs w:val="24"/>
          <w:lang w:val="fr-FR"/>
        </w:rPr>
        <w:t>10-1</w:t>
      </w:r>
    </w:p>
    <w:p w:rsidR="00922AF3" w:rsidRPr="00855FDC" w:rsidRDefault="00922AF3" w:rsidP="00922AF3">
      <w:pPr>
        <w:rPr>
          <w:rFonts w:ascii="Sylfaen" w:hAnsi="Sylfaen"/>
          <w:sz w:val="24"/>
          <w:lang w:val="fr-FR"/>
        </w:rPr>
      </w:pPr>
    </w:p>
    <w:p w:rsidR="00FC38F5" w:rsidRPr="00855FDC" w:rsidRDefault="00832A25" w:rsidP="00922AF3">
      <w:pPr>
        <w:pStyle w:val="ClinKeyword"/>
        <w:spacing w:after="0" w:afterAutospacing="0"/>
        <w:rPr>
          <w:rFonts w:ascii="Sylfaen" w:hAnsi="Sylfaen"/>
          <w:sz w:val="24"/>
          <w:lang w:val="fr-FR"/>
        </w:rPr>
      </w:pPr>
      <w:r w:rsidRPr="00855FDC">
        <w:rPr>
          <w:rFonts w:ascii="Sylfaen" w:hAnsi="Sylfaen"/>
          <w:sz w:val="24"/>
        </w:rPr>
        <w:t>Արտահայտվելու</w:t>
      </w:r>
      <w:r w:rsidRPr="00855FDC">
        <w:rPr>
          <w:rFonts w:ascii="Sylfaen" w:hAnsi="Sylfaen"/>
          <w:sz w:val="24"/>
          <w:lang w:val="fr-FR"/>
        </w:rPr>
        <w:t xml:space="preserve"> </w:t>
      </w:r>
      <w:r w:rsidRPr="00855FDC">
        <w:rPr>
          <w:rFonts w:ascii="Sylfaen" w:hAnsi="Sylfaen"/>
          <w:sz w:val="24"/>
        </w:rPr>
        <w:t>ազատություն</w:t>
      </w:r>
    </w:p>
    <w:p w:rsidR="00922AF3" w:rsidRPr="00855FDC" w:rsidRDefault="00922AF3" w:rsidP="00922AF3">
      <w:pPr>
        <w:rPr>
          <w:rStyle w:val="ClinHeadNote"/>
          <w:rFonts w:ascii="Sylfaen" w:hAnsi="Sylfaen"/>
          <w:sz w:val="24"/>
          <w:lang w:val="fr-FR"/>
        </w:rPr>
      </w:pPr>
    </w:p>
    <w:p w:rsidR="002C06DC" w:rsidRPr="00855FDC" w:rsidRDefault="00F87D1E" w:rsidP="00922AF3">
      <w:pPr>
        <w:rPr>
          <w:rStyle w:val="ClinConclusions"/>
          <w:rFonts w:ascii="Sylfaen" w:hAnsi="Sylfaen"/>
          <w:sz w:val="24"/>
          <w:lang w:val="fr-FR"/>
        </w:rPr>
      </w:pPr>
      <w:proofErr w:type="gramStart"/>
      <w:r w:rsidRPr="00855FDC">
        <w:rPr>
          <w:rStyle w:val="ClinHeadNote"/>
          <w:rFonts w:ascii="Sylfaen" w:hAnsi="Sylfaen"/>
          <w:sz w:val="24"/>
        </w:rPr>
        <w:t>Զրպարտության</w:t>
      </w:r>
      <w:r w:rsidRPr="00855FDC">
        <w:rPr>
          <w:rStyle w:val="ClinHeadNote"/>
          <w:rFonts w:ascii="Sylfaen" w:hAnsi="Sylfaen"/>
          <w:sz w:val="24"/>
          <w:lang w:val="fr-FR"/>
        </w:rPr>
        <w:t xml:space="preserve"> </w:t>
      </w:r>
      <w:r w:rsidRPr="00855FDC">
        <w:rPr>
          <w:rStyle w:val="ClinHeadNote"/>
          <w:rFonts w:ascii="Sylfaen" w:hAnsi="Sylfaen"/>
          <w:sz w:val="24"/>
        </w:rPr>
        <w:t>համար</w:t>
      </w:r>
      <w:r w:rsidRPr="00855FDC">
        <w:rPr>
          <w:rStyle w:val="ClinHeadNote"/>
          <w:rFonts w:ascii="Sylfaen" w:hAnsi="Sylfaen"/>
          <w:sz w:val="24"/>
          <w:lang w:val="fr-FR"/>
        </w:rPr>
        <w:t xml:space="preserve"> </w:t>
      </w:r>
      <w:r w:rsidR="002C06DC" w:rsidRPr="00855FDC">
        <w:rPr>
          <w:rStyle w:val="ClinHeadNote"/>
          <w:rFonts w:ascii="Sylfaen" w:hAnsi="Sylfaen"/>
          <w:sz w:val="24"/>
        </w:rPr>
        <w:t>վնասի</w:t>
      </w:r>
      <w:r w:rsidR="002C06DC" w:rsidRPr="00855FDC">
        <w:rPr>
          <w:rStyle w:val="ClinHeadNote"/>
          <w:rFonts w:ascii="Sylfaen" w:hAnsi="Sylfaen"/>
          <w:sz w:val="24"/>
          <w:lang w:val="fr-FR"/>
        </w:rPr>
        <w:t xml:space="preserve"> </w:t>
      </w:r>
      <w:r w:rsidR="002C06DC" w:rsidRPr="00855FDC">
        <w:rPr>
          <w:rStyle w:val="ClinHeadNote"/>
          <w:rFonts w:ascii="Sylfaen" w:hAnsi="Sylfaen"/>
          <w:sz w:val="24"/>
        </w:rPr>
        <w:t>փոխհատուցում</w:t>
      </w:r>
      <w:r w:rsidR="00F42B78" w:rsidRPr="00855FDC">
        <w:rPr>
          <w:rStyle w:val="ClinHeadNote"/>
          <w:rFonts w:ascii="Sylfaen" w:hAnsi="Sylfaen"/>
          <w:sz w:val="24"/>
          <w:lang w:val="fr-FR"/>
        </w:rPr>
        <w:t>.</w:t>
      </w:r>
      <w:proofErr w:type="gramEnd"/>
      <w:r w:rsidR="00CA1B43" w:rsidRPr="00855FDC">
        <w:rPr>
          <w:rStyle w:val="ClinHeadNote"/>
          <w:rFonts w:ascii="Sylfaen" w:hAnsi="Sylfaen"/>
          <w:sz w:val="24"/>
          <w:lang w:val="fr-FR"/>
        </w:rPr>
        <w:t xml:space="preserve"> </w:t>
      </w:r>
      <w:proofErr w:type="gramStart"/>
      <w:r w:rsidR="002C06DC" w:rsidRPr="00855FDC">
        <w:rPr>
          <w:rStyle w:val="ClinHeadNote"/>
          <w:rFonts w:ascii="Sylfaen" w:hAnsi="Sylfaen"/>
          <w:i/>
          <w:sz w:val="24"/>
        </w:rPr>
        <w:t>խախտում</w:t>
      </w:r>
      <w:proofErr w:type="gramEnd"/>
    </w:p>
    <w:p w:rsidR="00922AF3" w:rsidRPr="00855FDC" w:rsidRDefault="00922AF3" w:rsidP="00922AF3">
      <w:pPr>
        <w:rPr>
          <w:rStyle w:val="ClinHeadNote"/>
          <w:rFonts w:ascii="Sylfaen" w:hAnsi="Sylfaen"/>
          <w:sz w:val="24"/>
          <w:lang w:val="fr-FR"/>
        </w:rPr>
      </w:pPr>
    </w:p>
    <w:p w:rsidR="009D7B9A" w:rsidRDefault="009D7B9A" w:rsidP="00922AF3">
      <w:pPr>
        <w:rPr>
          <w:rStyle w:val="ClinHeadNote"/>
          <w:rFonts w:ascii="Sylfaen" w:hAnsi="Sylfaen"/>
          <w:sz w:val="24"/>
          <w:lang w:val="fr-FR"/>
        </w:rPr>
      </w:pPr>
    </w:p>
    <w:p w:rsidR="00FC38F5" w:rsidRPr="00AB7FB9" w:rsidRDefault="00922AF3" w:rsidP="00922AF3">
      <w:pPr>
        <w:pStyle w:val="ClinContent"/>
        <w:spacing w:before="0"/>
        <w:rPr>
          <w:rFonts w:ascii="Sylfaen" w:hAnsi="Sylfaen"/>
          <w:sz w:val="24"/>
          <w:lang w:val="fr-FR"/>
        </w:rPr>
      </w:pPr>
      <w:r w:rsidRPr="00855FDC">
        <w:rPr>
          <w:rFonts w:ascii="Sylfaen" w:hAnsi="Sylfaen"/>
          <w:i/>
          <w:sz w:val="24"/>
        </w:rPr>
        <w:t>Փաստեր</w:t>
      </w:r>
      <w:r w:rsidR="00F42B78" w:rsidRPr="00855FDC">
        <w:rPr>
          <w:rFonts w:ascii="Sylfaen" w:hAnsi="Sylfaen"/>
          <w:i/>
          <w:sz w:val="24"/>
          <w:lang w:val="fr-FR"/>
        </w:rPr>
        <w:t>.</w:t>
      </w:r>
      <w:r w:rsidRPr="00855FDC">
        <w:rPr>
          <w:rFonts w:ascii="Sylfaen" w:hAnsi="Sylfaen"/>
          <w:sz w:val="24"/>
          <w:lang w:val="fr-FR"/>
        </w:rPr>
        <w:t xml:space="preserve"> </w:t>
      </w:r>
      <w:r w:rsidRPr="00855FDC">
        <w:rPr>
          <w:rFonts w:ascii="Sylfaen" w:hAnsi="Sylfaen"/>
          <w:sz w:val="24"/>
        </w:rPr>
        <w:t>Դիմումատ</w:t>
      </w:r>
      <w:r w:rsidR="00F87D1E" w:rsidRPr="00855FDC">
        <w:rPr>
          <w:rFonts w:ascii="Sylfaen" w:hAnsi="Sylfaen"/>
          <w:sz w:val="24"/>
        </w:rPr>
        <w:t>ուները</w:t>
      </w:r>
      <w:r w:rsidR="00F87D1E" w:rsidRPr="00855FDC">
        <w:rPr>
          <w:rFonts w:ascii="Sylfaen" w:hAnsi="Sylfaen"/>
          <w:i/>
          <w:sz w:val="24"/>
          <w:lang w:val="fr-FR"/>
        </w:rPr>
        <w:t xml:space="preserve"> </w:t>
      </w:r>
      <w:r w:rsidR="002C06DC" w:rsidRPr="00855FDC">
        <w:rPr>
          <w:rFonts w:ascii="Sylfaen" w:hAnsi="Sylfaen"/>
          <w:sz w:val="24"/>
        </w:rPr>
        <w:t>կապ</w:t>
      </w:r>
      <w:r w:rsidR="002C06DC" w:rsidRPr="00855FDC">
        <w:rPr>
          <w:rFonts w:ascii="Sylfaen" w:hAnsi="Sylfaen"/>
          <w:sz w:val="24"/>
          <w:lang w:val="fr-FR"/>
        </w:rPr>
        <w:t xml:space="preserve"> </w:t>
      </w:r>
      <w:r w:rsidR="002C06DC" w:rsidRPr="00855FDC">
        <w:rPr>
          <w:rFonts w:ascii="Sylfaen" w:hAnsi="Sylfaen"/>
          <w:sz w:val="24"/>
        </w:rPr>
        <w:t>ունեին</w:t>
      </w:r>
      <w:r w:rsidR="00CA1B43" w:rsidRPr="00855FDC">
        <w:rPr>
          <w:rFonts w:ascii="Sylfaen" w:hAnsi="Sylfaen"/>
          <w:sz w:val="24"/>
          <w:lang w:val="fr-FR"/>
        </w:rPr>
        <w:t xml:space="preserve"> </w:t>
      </w:r>
      <w:r w:rsidR="00F87D1E" w:rsidRPr="00855FDC">
        <w:rPr>
          <w:rFonts w:ascii="Sylfaen" w:hAnsi="Sylfaen"/>
          <w:sz w:val="24"/>
          <w:lang w:val="fr-FR"/>
        </w:rPr>
        <w:t xml:space="preserve">London Greenpeace </w:t>
      </w:r>
      <w:r w:rsidR="00F87D1E" w:rsidRPr="00855FDC">
        <w:rPr>
          <w:rFonts w:ascii="Sylfaen" w:hAnsi="Sylfaen"/>
          <w:sz w:val="24"/>
        </w:rPr>
        <w:t>կոչվող</w:t>
      </w:r>
      <w:r w:rsidR="00F87D1E" w:rsidRPr="00855FDC">
        <w:rPr>
          <w:rFonts w:ascii="Sylfaen" w:hAnsi="Sylfaen"/>
          <w:sz w:val="24"/>
          <w:lang w:val="fr-FR"/>
        </w:rPr>
        <w:t xml:space="preserve"> </w:t>
      </w:r>
      <w:r w:rsidR="00F87D1E" w:rsidRPr="00855FDC">
        <w:rPr>
          <w:rFonts w:ascii="Sylfaen" w:hAnsi="Sylfaen"/>
          <w:sz w:val="24"/>
        </w:rPr>
        <w:t>մի</w:t>
      </w:r>
      <w:r w:rsidR="00F87D1E" w:rsidRPr="00855FDC">
        <w:rPr>
          <w:rFonts w:ascii="Sylfaen" w:hAnsi="Sylfaen"/>
          <w:sz w:val="24"/>
          <w:lang w:val="fr-FR"/>
        </w:rPr>
        <w:t xml:space="preserve"> </w:t>
      </w:r>
      <w:r w:rsidR="00F87D1E" w:rsidRPr="00855FDC">
        <w:rPr>
          <w:rFonts w:ascii="Sylfaen" w:hAnsi="Sylfaen"/>
          <w:sz w:val="24"/>
        </w:rPr>
        <w:t>փոքրիկ</w:t>
      </w:r>
      <w:r w:rsidR="00F87D1E" w:rsidRPr="00855FDC">
        <w:rPr>
          <w:rFonts w:ascii="Sylfaen" w:hAnsi="Sylfaen"/>
          <w:sz w:val="24"/>
          <w:lang w:val="fr-FR"/>
        </w:rPr>
        <w:t xml:space="preserve"> </w:t>
      </w:r>
      <w:r w:rsidR="00F87D1E" w:rsidRPr="00855FDC">
        <w:rPr>
          <w:rFonts w:ascii="Sylfaen" w:hAnsi="Sylfaen"/>
          <w:sz w:val="24"/>
        </w:rPr>
        <w:t>կազմակերպության</w:t>
      </w:r>
      <w:r w:rsidR="00F87D1E" w:rsidRPr="00855FDC">
        <w:rPr>
          <w:rFonts w:ascii="Sylfaen" w:hAnsi="Sylfaen"/>
          <w:sz w:val="24"/>
          <w:lang w:val="fr-FR"/>
        </w:rPr>
        <w:t xml:space="preserve"> </w:t>
      </w:r>
      <w:r w:rsidR="00F87D1E" w:rsidRPr="00855FDC">
        <w:rPr>
          <w:rFonts w:ascii="Sylfaen" w:hAnsi="Sylfaen"/>
          <w:sz w:val="24"/>
        </w:rPr>
        <w:t>հետ</w:t>
      </w:r>
      <w:r w:rsidR="00F87D1E" w:rsidRPr="00855FDC">
        <w:rPr>
          <w:rFonts w:ascii="Sylfaen" w:hAnsi="Sylfaen"/>
          <w:sz w:val="24"/>
          <w:lang w:val="fr-FR"/>
        </w:rPr>
        <w:t xml:space="preserve"> (</w:t>
      </w:r>
      <w:r w:rsidR="00F87D1E" w:rsidRPr="00855FDC">
        <w:rPr>
          <w:rFonts w:ascii="Sylfaen" w:hAnsi="Sylfaen"/>
          <w:sz w:val="24"/>
        </w:rPr>
        <w:t>որը</w:t>
      </w:r>
      <w:r w:rsidR="00F87D1E" w:rsidRPr="00855FDC">
        <w:rPr>
          <w:rFonts w:ascii="Sylfaen" w:hAnsi="Sylfaen"/>
          <w:sz w:val="24"/>
          <w:lang w:val="fr-FR"/>
        </w:rPr>
        <w:t xml:space="preserve"> </w:t>
      </w:r>
      <w:r w:rsidR="00F87D1E" w:rsidRPr="00855FDC">
        <w:rPr>
          <w:rFonts w:ascii="Sylfaen" w:hAnsi="Sylfaen"/>
          <w:sz w:val="24"/>
        </w:rPr>
        <w:t>կապ</w:t>
      </w:r>
      <w:r w:rsidR="00F87D1E" w:rsidRPr="00855FDC">
        <w:rPr>
          <w:rFonts w:ascii="Sylfaen" w:hAnsi="Sylfaen"/>
          <w:sz w:val="24"/>
          <w:lang w:val="fr-FR"/>
        </w:rPr>
        <w:t xml:space="preserve"> </w:t>
      </w:r>
      <w:r w:rsidR="00F87D1E" w:rsidRPr="00855FDC">
        <w:rPr>
          <w:rFonts w:ascii="Sylfaen" w:hAnsi="Sylfaen"/>
          <w:sz w:val="24"/>
        </w:rPr>
        <w:t>չունի</w:t>
      </w:r>
      <w:r w:rsidR="00F87D1E" w:rsidRPr="00855FDC">
        <w:rPr>
          <w:rFonts w:ascii="Sylfaen" w:hAnsi="Sylfaen"/>
          <w:sz w:val="24"/>
          <w:lang w:val="fr-FR"/>
        </w:rPr>
        <w:t xml:space="preserve"> Greenpeace International-</w:t>
      </w:r>
      <w:r w:rsidR="00F87D1E" w:rsidRPr="00855FDC">
        <w:rPr>
          <w:rFonts w:ascii="Sylfaen" w:hAnsi="Sylfaen"/>
          <w:sz w:val="24"/>
        </w:rPr>
        <w:t>ի</w:t>
      </w:r>
      <w:r w:rsidR="00F87D1E" w:rsidRPr="00855FDC">
        <w:rPr>
          <w:rFonts w:ascii="Sylfaen" w:hAnsi="Sylfaen"/>
          <w:sz w:val="24"/>
          <w:lang w:val="fr-FR"/>
        </w:rPr>
        <w:t xml:space="preserve"> </w:t>
      </w:r>
      <w:r w:rsidR="00F87D1E" w:rsidRPr="00855FDC">
        <w:rPr>
          <w:rFonts w:ascii="Sylfaen" w:hAnsi="Sylfaen"/>
          <w:sz w:val="24"/>
        </w:rPr>
        <w:lastRenderedPageBreak/>
        <w:t>հետ</w:t>
      </w:r>
      <w:r w:rsidR="00F87D1E" w:rsidRPr="00855FDC">
        <w:rPr>
          <w:rFonts w:ascii="Sylfaen" w:hAnsi="Sylfaen"/>
          <w:sz w:val="24"/>
          <w:lang w:val="fr-FR"/>
        </w:rPr>
        <w:t xml:space="preserve">): </w:t>
      </w:r>
      <w:r w:rsidR="00A900B0" w:rsidRPr="00855FDC">
        <w:rPr>
          <w:rFonts w:ascii="Sylfaen" w:hAnsi="Sylfaen"/>
          <w:sz w:val="24"/>
          <w:lang w:val="fr-FR"/>
        </w:rPr>
        <w:t>80-</w:t>
      </w:r>
      <w:r w:rsidR="00A900B0" w:rsidRPr="00855FDC">
        <w:rPr>
          <w:rFonts w:ascii="Sylfaen" w:hAnsi="Sylfaen"/>
          <w:sz w:val="24"/>
        </w:rPr>
        <w:t>ականների</w:t>
      </w:r>
      <w:r w:rsidR="00A900B0" w:rsidRPr="00855FDC">
        <w:rPr>
          <w:rFonts w:ascii="Sylfaen" w:hAnsi="Sylfaen"/>
          <w:sz w:val="24"/>
          <w:lang w:val="fr-FR"/>
        </w:rPr>
        <w:t xml:space="preserve"> </w:t>
      </w:r>
      <w:r w:rsidR="00CA1B43" w:rsidRPr="00855FDC">
        <w:rPr>
          <w:rFonts w:ascii="Sylfaen" w:hAnsi="Sylfaen"/>
          <w:sz w:val="24"/>
        </w:rPr>
        <w:t>կեսերին</w:t>
      </w:r>
      <w:r w:rsidR="00CA1B43" w:rsidRPr="00855FDC">
        <w:rPr>
          <w:rFonts w:ascii="Sylfaen" w:hAnsi="Sylfaen"/>
          <w:sz w:val="24"/>
          <w:lang w:val="fr-FR"/>
        </w:rPr>
        <w:t xml:space="preserve"> </w:t>
      </w:r>
      <w:r w:rsidR="00CA1B43" w:rsidRPr="00855FDC">
        <w:rPr>
          <w:rFonts w:ascii="Sylfaen" w:hAnsi="Sylfaen"/>
          <w:sz w:val="24"/>
        </w:rPr>
        <w:t>կ</w:t>
      </w:r>
      <w:r w:rsidR="00A900B0" w:rsidRPr="00855FDC">
        <w:rPr>
          <w:rFonts w:ascii="Sylfaen" w:hAnsi="Sylfaen"/>
          <w:sz w:val="24"/>
        </w:rPr>
        <w:t>ազմակերպությունը</w:t>
      </w:r>
      <w:r w:rsidR="00A900B0" w:rsidRPr="00855FDC">
        <w:rPr>
          <w:rFonts w:ascii="Sylfaen" w:hAnsi="Sylfaen"/>
          <w:sz w:val="24"/>
          <w:lang w:val="fr-FR"/>
        </w:rPr>
        <w:t xml:space="preserve"> </w:t>
      </w:r>
      <w:r w:rsidR="00A900B0" w:rsidRPr="00855FDC">
        <w:rPr>
          <w:rFonts w:ascii="Sylfaen" w:hAnsi="Sylfaen"/>
          <w:sz w:val="24"/>
        </w:rPr>
        <w:t>մեկնարկել</w:t>
      </w:r>
      <w:r w:rsidR="00A900B0" w:rsidRPr="00855FDC">
        <w:rPr>
          <w:rFonts w:ascii="Sylfaen" w:hAnsi="Sylfaen"/>
          <w:sz w:val="24"/>
          <w:lang w:val="fr-FR"/>
        </w:rPr>
        <w:t xml:space="preserve"> </w:t>
      </w:r>
      <w:r w:rsidR="00A900B0" w:rsidRPr="00855FDC">
        <w:rPr>
          <w:rFonts w:ascii="Sylfaen" w:hAnsi="Sylfaen"/>
          <w:sz w:val="24"/>
        </w:rPr>
        <w:t>էր</w:t>
      </w:r>
      <w:r w:rsidR="00A900B0" w:rsidRPr="00855FDC">
        <w:rPr>
          <w:rFonts w:ascii="Sylfaen" w:hAnsi="Sylfaen"/>
          <w:sz w:val="24"/>
          <w:lang w:val="fr-FR"/>
        </w:rPr>
        <w:t xml:space="preserve"> </w:t>
      </w:r>
      <w:r w:rsidR="00A900B0" w:rsidRPr="00855FDC">
        <w:rPr>
          <w:rFonts w:ascii="Sylfaen" w:hAnsi="Sylfaen"/>
          <w:sz w:val="24"/>
        </w:rPr>
        <w:t>հակա</w:t>
      </w:r>
      <w:r w:rsidR="00A900B0" w:rsidRPr="00855FDC">
        <w:rPr>
          <w:rFonts w:ascii="Sylfaen" w:hAnsi="Sylfaen"/>
          <w:sz w:val="24"/>
          <w:lang w:val="fr-FR"/>
        </w:rPr>
        <w:t>-</w:t>
      </w:r>
      <w:r w:rsidR="00490787" w:rsidRPr="00855FDC">
        <w:rPr>
          <w:rFonts w:ascii="Sylfaen" w:hAnsi="Sylfaen"/>
          <w:sz w:val="24"/>
        </w:rPr>
        <w:t>մ</w:t>
      </w:r>
      <w:r w:rsidR="00A900B0" w:rsidRPr="00855FDC">
        <w:rPr>
          <w:rFonts w:ascii="Sylfaen" w:hAnsi="Sylfaen"/>
          <w:sz w:val="24"/>
        </w:rPr>
        <w:t>ակդոնալդս</w:t>
      </w:r>
      <w:r w:rsidR="00490787" w:rsidRPr="00855FDC">
        <w:rPr>
          <w:rFonts w:ascii="Sylfaen" w:hAnsi="Sylfaen"/>
          <w:sz w:val="24"/>
        </w:rPr>
        <w:t>ային</w:t>
      </w:r>
      <w:r w:rsidR="00A900B0" w:rsidRPr="00855FDC">
        <w:rPr>
          <w:rFonts w:ascii="Sylfaen" w:hAnsi="Sylfaen"/>
          <w:sz w:val="24"/>
          <w:lang w:val="fr-FR"/>
        </w:rPr>
        <w:t xml:space="preserve"> </w:t>
      </w:r>
      <w:r w:rsidR="00A900B0" w:rsidRPr="00855FDC">
        <w:rPr>
          <w:rFonts w:ascii="Sylfaen" w:hAnsi="Sylfaen"/>
          <w:sz w:val="24"/>
        </w:rPr>
        <w:t>արշավ</w:t>
      </w:r>
      <w:r w:rsidR="00A900B0" w:rsidRPr="00855FDC">
        <w:rPr>
          <w:rFonts w:ascii="Sylfaen" w:hAnsi="Sylfaen"/>
          <w:sz w:val="24"/>
          <w:lang w:val="fr-FR"/>
        </w:rPr>
        <w:t xml:space="preserve">: </w:t>
      </w:r>
      <w:r w:rsidR="00A900B0" w:rsidRPr="00855FDC">
        <w:rPr>
          <w:rFonts w:ascii="Sylfaen" w:hAnsi="Sylfaen"/>
          <w:sz w:val="24"/>
        </w:rPr>
        <w:t>Այդ</w:t>
      </w:r>
      <w:r w:rsidR="00A900B0" w:rsidRPr="00855FDC">
        <w:rPr>
          <w:rFonts w:ascii="Sylfaen" w:hAnsi="Sylfaen"/>
          <w:sz w:val="24"/>
          <w:lang w:val="fr-FR"/>
        </w:rPr>
        <w:t xml:space="preserve"> </w:t>
      </w:r>
      <w:r w:rsidR="00A900B0" w:rsidRPr="00855FDC">
        <w:rPr>
          <w:rFonts w:ascii="Sylfaen" w:hAnsi="Sylfaen"/>
          <w:sz w:val="24"/>
        </w:rPr>
        <w:t>արշավի</w:t>
      </w:r>
      <w:r w:rsidR="00A900B0" w:rsidRPr="00855FDC">
        <w:rPr>
          <w:rFonts w:ascii="Sylfaen" w:hAnsi="Sylfaen"/>
          <w:sz w:val="24"/>
          <w:lang w:val="fr-FR"/>
        </w:rPr>
        <w:t xml:space="preserve"> </w:t>
      </w:r>
      <w:r w:rsidR="00A900B0" w:rsidRPr="00855FDC">
        <w:rPr>
          <w:rFonts w:ascii="Sylfaen" w:hAnsi="Sylfaen"/>
          <w:sz w:val="24"/>
        </w:rPr>
        <w:t>շրջանակներում</w:t>
      </w:r>
      <w:r w:rsidR="00A900B0" w:rsidRPr="00855FDC">
        <w:rPr>
          <w:rFonts w:ascii="Sylfaen" w:hAnsi="Sylfaen"/>
          <w:sz w:val="24"/>
          <w:lang w:val="fr-FR"/>
        </w:rPr>
        <w:t xml:space="preserve"> </w:t>
      </w:r>
      <w:r w:rsidR="00490787" w:rsidRPr="00855FDC">
        <w:rPr>
          <w:rFonts w:ascii="Sylfaen" w:hAnsi="Sylfaen"/>
          <w:sz w:val="24"/>
        </w:rPr>
        <w:t>մշակվել</w:t>
      </w:r>
      <w:r w:rsidR="00490787" w:rsidRPr="00855FDC">
        <w:rPr>
          <w:rFonts w:ascii="Sylfaen" w:hAnsi="Sylfaen"/>
          <w:sz w:val="24"/>
          <w:lang w:val="fr-FR"/>
        </w:rPr>
        <w:t xml:space="preserve"> </w:t>
      </w:r>
      <w:r w:rsidR="00490787" w:rsidRPr="00855FDC">
        <w:rPr>
          <w:rFonts w:ascii="Sylfaen" w:hAnsi="Sylfaen"/>
          <w:sz w:val="24"/>
        </w:rPr>
        <w:t>և</w:t>
      </w:r>
      <w:r w:rsidR="00490787" w:rsidRPr="00855FDC">
        <w:rPr>
          <w:rFonts w:ascii="Sylfaen" w:hAnsi="Sylfaen"/>
          <w:sz w:val="24"/>
          <w:lang w:val="fr-FR"/>
        </w:rPr>
        <w:t xml:space="preserve"> </w:t>
      </w:r>
      <w:r w:rsidR="00490787" w:rsidRPr="00855FDC">
        <w:rPr>
          <w:rFonts w:ascii="Sylfaen" w:hAnsi="Sylfaen"/>
          <w:sz w:val="24"/>
        </w:rPr>
        <w:t>շրջանառվել</w:t>
      </w:r>
      <w:r w:rsidR="00490787" w:rsidRPr="00855FDC">
        <w:rPr>
          <w:rFonts w:ascii="Sylfaen" w:hAnsi="Sylfaen"/>
          <w:sz w:val="24"/>
          <w:lang w:val="fr-FR"/>
        </w:rPr>
        <w:t xml:space="preserve"> </w:t>
      </w:r>
      <w:r w:rsidR="00490787" w:rsidRPr="00855FDC">
        <w:rPr>
          <w:rFonts w:ascii="Sylfaen" w:hAnsi="Sylfaen"/>
          <w:sz w:val="24"/>
        </w:rPr>
        <w:t>է</w:t>
      </w:r>
      <w:r w:rsidR="00490787" w:rsidRPr="00855FDC">
        <w:rPr>
          <w:rFonts w:ascii="Sylfaen" w:hAnsi="Sylfaen"/>
          <w:sz w:val="24"/>
          <w:lang w:val="fr-FR"/>
        </w:rPr>
        <w:t xml:space="preserve"> </w:t>
      </w:r>
      <w:r w:rsidR="00490787" w:rsidRPr="00855FDC">
        <w:rPr>
          <w:rFonts w:ascii="Sylfaen" w:hAnsi="Sylfaen"/>
          <w:sz w:val="24"/>
        </w:rPr>
        <w:t>վեց</w:t>
      </w:r>
      <w:r w:rsidR="00490787" w:rsidRPr="00855FDC">
        <w:rPr>
          <w:rFonts w:ascii="Sylfaen" w:hAnsi="Sylfaen"/>
          <w:sz w:val="24"/>
          <w:lang w:val="fr-FR"/>
        </w:rPr>
        <w:t xml:space="preserve"> </w:t>
      </w:r>
      <w:r w:rsidR="00490787" w:rsidRPr="00855FDC">
        <w:rPr>
          <w:rFonts w:ascii="Sylfaen" w:hAnsi="Sylfaen"/>
          <w:sz w:val="24"/>
        </w:rPr>
        <w:t>էջից</w:t>
      </w:r>
      <w:r w:rsidR="00490787" w:rsidRPr="00855FDC">
        <w:rPr>
          <w:rFonts w:ascii="Sylfaen" w:hAnsi="Sylfaen"/>
          <w:sz w:val="24"/>
          <w:lang w:val="fr-FR"/>
        </w:rPr>
        <w:t xml:space="preserve"> </w:t>
      </w:r>
      <w:r w:rsidR="00490787" w:rsidRPr="00855FDC">
        <w:rPr>
          <w:rFonts w:ascii="Sylfaen" w:hAnsi="Sylfaen"/>
          <w:sz w:val="24"/>
        </w:rPr>
        <w:t>բաղկացած</w:t>
      </w:r>
      <w:r w:rsidR="00490787" w:rsidRPr="00855FDC">
        <w:rPr>
          <w:rFonts w:ascii="Sylfaen" w:hAnsi="Sylfaen"/>
          <w:sz w:val="24"/>
          <w:lang w:val="fr-FR"/>
        </w:rPr>
        <w:t xml:space="preserve"> </w:t>
      </w:r>
      <w:r w:rsidR="00490787" w:rsidRPr="00855FDC">
        <w:rPr>
          <w:rFonts w:ascii="Sylfaen" w:hAnsi="Sylfaen"/>
          <w:sz w:val="24"/>
        </w:rPr>
        <w:t>տեղեկատվական</w:t>
      </w:r>
      <w:r w:rsidR="00490787" w:rsidRPr="00855FDC">
        <w:rPr>
          <w:rFonts w:ascii="Sylfaen" w:hAnsi="Sylfaen"/>
          <w:sz w:val="24"/>
          <w:lang w:val="fr-FR"/>
        </w:rPr>
        <w:t xml:space="preserve"> </w:t>
      </w:r>
      <w:r w:rsidR="00490787" w:rsidRPr="00855FDC">
        <w:rPr>
          <w:rFonts w:ascii="Sylfaen" w:hAnsi="Sylfaen"/>
          <w:sz w:val="24"/>
        </w:rPr>
        <w:t>թեր</w:t>
      </w:r>
      <w:r w:rsidR="00CA1B43" w:rsidRPr="00855FDC">
        <w:rPr>
          <w:rFonts w:ascii="Sylfaen" w:hAnsi="Sylfaen"/>
          <w:sz w:val="24"/>
        </w:rPr>
        <w:t>թիկ</w:t>
      </w:r>
      <w:r w:rsidR="00490787" w:rsidRPr="00855FDC">
        <w:rPr>
          <w:rFonts w:ascii="Sylfaen" w:hAnsi="Sylfaen"/>
          <w:sz w:val="24"/>
          <w:lang w:val="fr-FR"/>
        </w:rPr>
        <w:t>:</w:t>
      </w:r>
      <w:r w:rsidR="00CA1B43" w:rsidRPr="00855FDC">
        <w:rPr>
          <w:rFonts w:ascii="Sylfaen" w:hAnsi="Sylfaen"/>
          <w:sz w:val="24"/>
          <w:lang w:val="fr-FR"/>
        </w:rPr>
        <w:t xml:space="preserve"> </w:t>
      </w:r>
      <w:r w:rsidR="00CA1B43" w:rsidRPr="00855FDC">
        <w:rPr>
          <w:rFonts w:ascii="Sylfaen" w:hAnsi="Sylfaen"/>
          <w:sz w:val="24"/>
        </w:rPr>
        <w:t>Տեղեկատվական</w:t>
      </w:r>
      <w:r w:rsidR="00CA1B43" w:rsidRPr="00855FDC">
        <w:rPr>
          <w:rFonts w:ascii="Sylfaen" w:hAnsi="Sylfaen"/>
          <w:sz w:val="24"/>
          <w:lang w:val="fr-FR"/>
        </w:rPr>
        <w:t xml:space="preserve"> </w:t>
      </w:r>
      <w:r w:rsidR="00CA1B43" w:rsidRPr="00855FDC">
        <w:rPr>
          <w:rFonts w:ascii="Sylfaen" w:hAnsi="Sylfaen"/>
          <w:sz w:val="24"/>
        </w:rPr>
        <w:t>թերթիկը</w:t>
      </w:r>
      <w:r w:rsidR="00CA1B43" w:rsidRPr="00855FDC">
        <w:rPr>
          <w:rFonts w:ascii="Sylfaen" w:hAnsi="Sylfaen"/>
          <w:sz w:val="24"/>
          <w:lang w:val="fr-FR"/>
        </w:rPr>
        <w:t xml:space="preserve"> </w:t>
      </w:r>
      <w:r w:rsidR="00490787" w:rsidRPr="00855FDC">
        <w:rPr>
          <w:rFonts w:ascii="Sylfaen" w:hAnsi="Sylfaen"/>
          <w:sz w:val="24"/>
        </w:rPr>
        <w:t>պարունակում</w:t>
      </w:r>
      <w:r w:rsidR="00490787" w:rsidRPr="00855FDC">
        <w:rPr>
          <w:rFonts w:ascii="Sylfaen" w:hAnsi="Sylfaen"/>
          <w:sz w:val="24"/>
          <w:lang w:val="fr-FR"/>
        </w:rPr>
        <w:t xml:space="preserve"> </w:t>
      </w:r>
      <w:r w:rsidR="00490787" w:rsidRPr="00855FDC">
        <w:rPr>
          <w:rFonts w:ascii="Sylfaen" w:hAnsi="Sylfaen"/>
          <w:sz w:val="24"/>
        </w:rPr>
        <w:t>էր</w:t>
      </w:r>
      <w:r w:rsidR="00F6674D" w:rsidRPr="00855FDC">
        <w:rPr>
          <w:rFonts w:ascii="Sylfaen" w:hAnsi="Sylfaen"/>
          <w:sz w:val="24"/>
          <w:lang w:val="fr-FR"/>
        </w:rPr>
        <w:t xml:space="preserve"> </w:t>
      </w:r>
      <w:r w:rsidR="00CA1B43" w:rsidRPr="00855FDC">
        <w:rPr>
          <w:rFonts w:ascii="Sylfaen" w:hAnsi="Sylfaen"/>
          <w:sz w:val="24"/>
        </w:rPr>
        <w:t>մի</w:t>
      </w:r>
      <w:r w:rsidR="00CA1B43" w:rsidRPr="00855FDC">
        <w:rPr>
          <w:rFonts w:ascii="Sylfaen" w:hAnsi="Sylfaen"/>
          <w:sz w:val="24"/>
          <w:lang w:val="fr-FR"/>
        </w:rPr>
        <w:t xml:space="preserve"> </w:t>
      </w:r>
      <w:r w:rsidR="00CA1B43" w:rsidRPr="00855FDC">
        <w:rPr>
          <w:rFonts w:ascii="Sylfaen" w:hAnsi="Sylfaen"/>
          <w:sz w:val="24"/>
        </w:rPr>
        <w:t>շարք</w:t>
      </w:r>
      <w:r w:rsidR="00CA1B43" w:rsidRPr="00855FDC">
        <w:rPr>
          <w:rFonts w:ascii="Sylfaen" w:hAnsi="Sylfaen"/>
          <w:sz w:val="24"/>
          <w:lang w:val="fr-FR"/>
        </w:rPr>
        <w:t xml:space="preserve"> </w:t>
      </w:r>
      <w:r w:rsidR="00F6674D" w:rsidRPr="00855FDC">
        <w:rPr>
          <w:rFonts w:ascii="Sylfaen" w:hAnsi="Sylfaen"/>
          <w:sz w:val="24"/>
        </w:rPr>
        <w:t>հայտարարություններ</w:t>
      </w:r>
      <w:r w:rsidR="00F6674D" w:rsidRPr="00855FDC">
        <w:rPr>
          <w:rFonts w:ascii="Sylfaen" w:hAnsi="Sylfaen"/>
          <w:sz w:val="24"/>
          <w:lang w:val="fr-FR"/>
        </w:rPr>
        <w:t xml:space="preserve"> </w:t>
      </w:r>
      <w:r w:rsidR="00490787" w:rsidRPr="00855FDC">
        <w:rPr>
          <w:rFonts w:ascii="Sylfaen" w:hAnsi="Sylfaen"/>
          <w:sz w:val="24"/>
          <w:lang w:val="fr-FR"/>
        </w:rPr>
        <w:t>McDonald</w:t>
      </w:r>
      <w:r w:rsidR="00133BF3">
        <w:rPr>
          <w:rFonts w:ascii="Sylfaen" w:hAnsi="Sylfaen"/>
          <w:sz w:val="24"/>
          <w:lang w:val="fr-FR"/>
        </w:rPr>
        <w:t>’</w:t>
      </w:r>
      <w:r w:rsidR="00490787" w:rsidRPr="00855FDC">
        <w:rPr>
          <w:rFonts w:ascii="Sylfaen" w:hAnsi="Sylfaen"/>
          <w:sz w:val="24"/>
          <w:lang w:val="fr-FR"/>
        </w:rPr>
        <w:t>s-</w:t>
      </w:r>
      <w:r w:rsidR="00490787" w:rsidRPr="00855FDC">
        <w:rPr>
          <w:rFonts w:ascii="Sylfaen" w:hAnsi="Sylfaen"/>
          <w:sz w:val="24"/>
        </w:rPr>
        <w:t>ի</w:t>
      </w:r>
      <w:r w:rsidR="00490787" w:rsidRPr="00855FDC">
        <w:rPr>
          <w:rFonts w:ascii="Sylfaen" w:hAnsi="Sylfaen"/>
          <w:sz w:val="24"/>
          <w:lang w:val="fr-FR"/>
        </w:rPr>
        <w:t xml:space="preserve"> </w:t>
      </w:r>
      <w:r w:rsidR="00CA1B43" w:rsidRPr="00855FDC">
        <w:rPr>
          <w:rFonts w:ascii="Sylfaen" w:hAnsi="Sylfaen"/>
          <w:sz w:val="24"/>
        </w:rPr>
        <w:t>վերաբերյալ</w:t>
      </w:r>
      <w:r w:rsidR="00CA1B43" w:rsidRPr="00855FDC">
        <w:rPr>
          <w:rFonts w:ascii="Sylfaen" w:hAnsi="Sylfaen"/>
          <w:sz w:val="24"/>
          <w:lang w:val="fr-FR"/>
        </w:rPr>
        <w:t xml:space="preserve">, </w:t>
      </w:r>
      <w:r w:rsidR="00CA1B43" w:rsidRPr="00855FDC">
        <w:rPr>
          <w:rFonts w:ascii="Sylfaen" w:hAnsi="Sylfaen"/>
          <w:sz w:val="24"/>
        </w:rPr>
        <w:t>որտեղ</w:t>
      </w:r>
      <w:r w:rsidR="00CA1B43" w:rsidRPr="00855FDC">
        <w:rPr>
          <w:rFonts w:ascii="Sylfaen" w:hAnsi="Sylfaen"/>
          <w:sz w:val="24"/>
          <w:lang w:val="fr-FR"/>
        </w:rPr>
        <w:t xml:space="preserve"> </w:t>
      </w:r>
      <w:r w:rsidR="00CA1B43" w:rsidRPr="00855FDC">
        <w:rPr>
          <w:rFonts w:ascii="Sylfaen" w:hAnsi="Sylfaen"/>
          <w:sz w:val="24"/>
        </w:rPr>
        <w:t>նշվում</w:t>
      </w:r>
      <w:r w:rsidR="00CA1B43" w:rsidRPr="00855FDC">
        <w:rPr>
          <w:rFonts w:ascii="Sylfaen" w:hAnsi="Sylfaen"/>
          <w:sz w:val="24"/>
          <w:lang w:val="fr-FR"/>
        </w:rPr>
        <w:t xml:space="preserve"> </w:t>
      </w:r>
      <w:r w:rsidR="00CA1B43" w:rsidRPr="00855FDC">
        <w:rPr>
          <w:rFonts w:ascii="Sylfaen" w:hAnsi="Sylfaen"/>
          <w:sz w:val="24"/>
        </w:rPr>
        <w:t>էր</w:t>
      </w:r>
      <w:r w:rsidR="00CA1B43" w:rsidRPr="00855FDC">
        <w:rPr>
          <w:rFonts w:ascii="Sylfaen" w:hAnsi="Sylfaen"/>
          <w:sz w:val="24"/>
          <w:lang w:val="fr-FR"/>
        </w:rPr>
        <w:t xml:space="preserve">, </w:t>
      </w:r>
      <w:r w:rsidR="00CA1B43" w:rsidRPr="00855FDC">
        <w:rPr>
          <w:rFonts w:ascii="Sylfaen" w:hAnsi="Sylfaen"/>
          <w:sz w:val="24"/>
        </w:rPr>
        <w:t>օրինակ</w:t>
      </w:r>
      <w:r w:rsidR="00CA1B43" w:rsidRPr="00855FDC">
        <w:rPr>
          <w:rFonts w:ascii="Sylfaen" w:hAnsi="Sylfaen"/>
          <w:sz w:val="24"/>
          <w:lang w:val="fr-FR"/>
        </w:rPr>
        <w:t xml:space="preserve">, </w:t>
      </w:r>
      <w:r w:rsidR="00CA1B43" w:rsidRPr="00855FDC">
        <w:rPr>
          <w:rFonts w:ascii="Sylfaen" w:hAnsi="Sylfaen"/>
          <w:sz w:val="24"/>
        </w:rPr>
        <w:t>որ</w:t>
      </w:r>
      <w:r w:rsidR="00CA1B43" w:rsidRPr="00855FDC">
        <w:rPr>
          <w:rFonts w:ascii="Sylfaen" w:hAnsi="Sylfaen"/>
          <w:sz w:val="24"/>
          <w:lang w:val="fr-FR"/>
        </w:rPr>
        <w:t xml:space="preserve"> </w:t>
      </w:r>
      <w:r w:rsidR="00F6674D" w:rsidRPr="00855FDC">
        <w:rPr>
          <w:rFonts w:ascii="Sylfaen" w:hAnsi="Sylfaen"/>
          <w:sz w:val="24"/>
        </w:rPr>
        <w:t>վերջինս</w:t>
      </w:r>
      <w:r w:rsidR="00F6674D" w:rsidRPr="00855FDC">
        <w:rPr>
          <w:rFonts w:ascii="Sylfaen" w:hAnsi="Sylfaen"/>
          <w:sz w:val="24"/>
          <w:lang w:val="fr-FR"/>
        </w:rPr>
        <w:t xml:space="preserve"> </w:t>
      </w:r>
      <w:r w:rsidR="00F6674D" w:rsidRPr="00855FDC">
        <w:rPr>
          <w:rFonts w:ascii="Sylfaen" w:hAnsi="Sylfaen"/>
          <w:sz w:val="24"/>
        </w:rPr>
        <w:t>պատասխանատու</w:t>
      </w:r>
      <w:r w:rsidR="00F6674D" w:rsidRPr="00855FDC">
        <w:rPr>
          <w:rFonts w:ascii="Sylfaen" w:hAnsi="Sylfaen"/>
          <w:sz w:val="24"/>
          <w:lang w:val="fr-FR"/>
        </w:rPr>
        <w:t xml:space="preserve"> </w:t>
      </w:r>
      <w:r w:rsidR="00F6674D" w:rsidRPr="00855FDC">
        <w:rPr>
          <w:rFonts w:ascii="Sylfaen" w:hAnsi="Sylfaen"/>
          <w:sz w:val="24"/>
        </w:rPr>
        <w:t>է</w:t>
      </w:r>
      <w:r w:rsidR="00F6674D" w:rsidRPr="00855FDC">
        <w:rPr>
          <w:rFonts w:ascii="Sylfaen" w:hAnsi="Sylfaen"/>
          <w:sz w:val="24"/>
          <w:lang w:val="fr-FR"/>
        </w:rPr>
        <w:t xml:space="preserve"> </w:t>
      </w:r>
      <w:r w:rsidR="00F6674D" w:rsidRPr="00855FDC">
        <w:rPr>
          <w:rFonts w:ascii="Sylfaen" w:hAnsi="Sylfaen"/>
          <w:sz w:val="24"/>
        </w:rPr>
        <w:t>երրորդ</w:t>
      </w:r>
      <w:r w:rsidR="00F6674D" w:rsidRPr="00855FDC">
        <w:rPr>
          <w:rFonts w:ascii="Sylfaen" w:hAnsi="Sylfaen"/>
          <w:sz w:val="24"/>
          <w:lang w:val="fr-FR"/>
        </w:rPr>
        <w:t xml:space="preserve"> </w:t>
      </w:r>
      <w:r w:rsidR="00F6674D" w:rsidRPr="00855FDC">
        <w:rPr>
          <w:rFonts w:ascii="Sylfaen" w:hAnsi="Sylfaen"/>
          <w:sz w:val="24"/>
        </w:rPr>
        <w:t>երկրներում</w:t>
      </w:r>
      <w:r w:rsidR="00F6674D" w:rsidRPr="00855FDC">
        <w:rPr>
          <w:rFonts w:ascii="Sylfaen" w:hAnsi="Sylfaen"/>
          <w:sz w:val="24"/>
          <w:lang w:val="fr-FR"/>
        </w:rPr>
        <w:t xml:space="preserve"> </w:t>
      </w:r>
      <w:r w:rsidR="00F6674D" w:rsidRPr="00855FDC">
        <w:rPr>
          <w:rFonts w:ascii="Sylfaen" w:hAnsi="Sylfaen"/>
          <w:sz w:val="24"/>
        </w:rPr>
        <w:t>ծագած</w:t>
      </w:r>
      <w:r w:rsidR="00F6674D" w:rsidRPr="00855FDC">
        <w:rPr>
          <w:rFonts w:ascii="Sylfaen" w:hAnsi="Sylfaen"/>
          <w:sz w:val="24"/>
          <w:lang w:val="fr-FR"/>
        </w:rPr>
        <w:t xml:space="preserve"> </w:t>
      </w:r>
      <w:r w:rsidR="00F6674D" w:rsidRPr="00855FDC">
        <w:rPr>
          <w:rFonts w:ascii="Sylfaen" w:hAnsi="Sylfaen"/>
          <w:sz w:val="24"/>
        </w:rPr>
        <w:t>սովի</w:t>
      </w:r>
      <w:r w:rsidR="00F6674D" w:rsidRPr="00855FDC">
        <w:rPr>
          <w:rFonts w:ascii="Sylfaen" w:hAnsi="Sylfaen"/>
          <w:sz w:val="24"/>
          <w:lang w:val="fr-FR"/>
        </w:rPr>
        <w:t xml:space="preserve"> </w:t>
      </w:r>
      <w:r w:rsidR="00F6674D" w:rsidRPr="00855FDC">
        <w:rPr>
          <w:rFonts w:ascii="Sylfaen" w:hAnsi="Sylfaen"/>
          <w:sz w:val="24"/>
        </w:rPr>
        <w:t>համար</w:t>
      </w:r>
      <w:r w:rsidR="00F6674D" w:rsidRPr="00855FDC">
        <w:rPr>
          <w:rFonts w:ascii="Sylfaen" w:hAnsi="Sylfaen"/>
          <w:sz w:val="24"/>
          <w:lang w:val="fr-FR"/>
        </w:rPr>
        <w:t xml:space="preserve"> </w:t>
      </w:r>
      <w:r w:rsidR="00F6674D" w:rsidRPr="00855FDC">
        <w:rPr>
          <w:rFonts w:ascii="Sylfaen" w:hAnsi="Sylfaen"/>
          <w:sz w:val="24"/>
        </w:rPr>
        <w:t>կամ</w:t>
      </w:r>
      <w:r w:rsidR="00F6674D" w:rsidRPr="00855FDC">
        <w:rPr>
          <w:rFonts w:ascii="Sylfaen" w:hAnsi="Sylfaen"/>
          <w:sz w:val="24"/>
          <w:lang w:val="fr-FR"/>
        </w:rPr>
        <w:t xml:space="preserve"> </w:t>
      </w:r>
      <w:r w:rsidR="00F6674D" w:rsidRPr="00855FDC">
        <w:rPr>
          <w:rFonts w:ascii="Sylfaen" w:hAnsi="Sylfaen"/>
          <w:sz w:val="24"/>
        </w:rPr>
        <w:t>փոքր</w:t>
      </w:r>
      <w:r w:rsidR="00F6674D" w:rsidRPr="00855FDC">
        <w:rPr>
          <w:rFonts w:ascii="Sylfaen" w:hAnsi="Sylfaen"/>
          <w:sz w:val="24"/>
          <w:lang w:val="fr-FR"/>
        </w:rPr>
        <w:t xml:space="preserve"> </w:t>
      </w:r>
      <w:r w:rsidR="00F6674D" w:rsidRPr="00855FDC">
        <w:rPr>
          <w:rFonts w:ascii="Sylfaen" w:hAnsi="Sylfaen"/>
          <w:sz w:val="24"/>
        </w:rPr>
        <w:t>տնտեսություն</w:t>
      </w:r>
      <w:r w:rsidR="00F6674D" w:rsidRPr="00855FDC">
        <w:rPr>
          <w:rFonts w:ascii="Sylfaen" w:hAnsi="Sylfaen"/>
          <w:sz w:val="24"/>
          <w:lang w:val="fr-FR"/>
        </w:rPr>
        <w:t xml:space="preserve"> </w:t>
      </w:r>
      <w:r w:rsidR="00F6674D" w:rsidRPr="00855FDC">
        <w:rPr>
          <w:rFonts w:ascii="Sylfaen" w:hAnsi="Sylfaen"/>
          <w:sz w:val="24"/>
        </w:rPr>
        <w:t>ունեցող</w:t>
      </w:r>
      <w:r w:rsidR="00F6674D" w:rsidRPr="00855FDC">
        <w:rPr>
          <w:rFonts w:ascii="Sylfaen" w:hAnsi="Sylfaen"/>
          <w:sz w:val="24"/>
          <w:lang w:val="fr-FR"/>
        </w:rPr>
        <w:t xml:space="preserve"> </w:t>
      </w:r>
      <w:r w:rsidR="00F6674D" w:rsidRPr="00855FDC">
        <w:rPr>
          <w:rFonts w:ascii="Sylfaen" w:hAnsi="Sylfaen"/>
          <w:sz w:val="24"/>
        </w:rPr>
        <w:t>ֆերմերներին</w:t>
      </w:r>
      <w:r w:rsidR="00F6674D" w:rsidRPr="00855FDC">
        <w:rPr>
          <w:rFonts w:ascii="Sylfaen" w:hAnsi="Sylfaen"/>
          <w:sz w:val="24"/>
          <w:lang w:val="fr-FR"/>
        </w:rPr>
        <w:t xml:space="preserve"> </w:t>
      </w:r>
      <w:r w:rsidR="00F6674D" w:rsidRPr="00855FDC">
        <w:rPr>
          <w:rFonts w:ascii="Sylfaen" w:hAnsi="Sylfaen"/>
          <w:sz w:val="24"/>
        </w:rPr>
        <w:t>իրենց</w:t>
      </w:r>
      <w:r w:rsidR="00F6674D" w:rsidRPr="00855FDC">
        <w:rPr>
          <w:rFonts w:ascii="Sylfaen" w:hAnsi="Sylfaen"/>
          <w:sz w:val="24"/>
          <w:lang w:val="fr-FR"/>
        </w:rPr>
        <w:t xml:space="preserve"> </w:t>
      </w:r>
      <w:r w:rsidR="00F6674D" w:rsidRPr="00855FDC">
        <w:rPr>
          <w:rFonts w:ascii="Sylfaen" w:hAnsi="Sylfaen"/>
          <w:sz w:val="24"/>
        </w:rPr>
        <w:t>հողերից</w:t>
      </w:r>
      <w:r w:rsidR="00F6674D" w:rsidRPr="00855FDC">
        <w:rPr>
          <w:rFonts w:ascii="Sylfaen" w:hAnsi="Sylfaen"/>
          <w:sz w:val="24"/>
          <w:lang w:val="fr-FR"/>
        </w:rPr>
        <w:t xml:space="preserve"> </w:t>
      </w:r>
      <w:r w:rsidR="001D497E" w:rsidRPr="00855FDC">
        <w:rPr>
          <w:rFonts w:ascii="Sylfaen" w:hAnsi="Sylfaen"/>
          <w:sz w:val="24"/>
        </w:rPr>
        <w:t>կամ</w:t>
      </w:r>
      <w:r w:rsidR="001D497E" w:rsidRPr="00855FDC">
        <w:rPr>
          <w:rFonts w:ascii="Sylfaen" w:hAnsi="Sylfaen"/>
          <w:sz w:val="24"/>
          <w:lang w:val="fr-FR"/>
        </w:rPr>
        <w:t xml:space="preserve"> </w:t>
      </w:r>
      <w:r w:rsidR="001D497E" w:rsidRPr="00855FDC">
        <w:rPr>
          <w:rFonts w:ascii="Sylfaen" w:hAnsi="Sylfaen"/>
          <w:sz w:val="24"/>
        </w:rPr>
        <w:t>բնիկների</w:t>
      </w:r>
      <w:r w:rsidR="001D497E" w:rsidRPr="00855FDC">
        <w:rPr>
          <w:rFonts w:ascii="Sylfaen" w:hAnsi="Sylfaen"/>
          <w:sz w:val="24"/>
          <w:lang w:val="fr-FR"/>
        </w:rPr>
        <w:t xml:space="preserve"> </w:t>
      </w:r>
      <w:r w:rsidR="001D497E" w:rsidRPr="00855FDC">
        <w:rPr>
          <w:rFonts w:ascii="Sylfaen" w:hAnsi="Sylfaen"/>
          <w:sz w:val="24"/>
        </w:rPr>
        <w:t>ցեղախմբերին</w:t>
      </w:r>
      <w:r w:rsidR="001D497E" w:rsidRPr="00855FDC">
        <w:rPr>
          <w:rFonts w:ascii="Sylfaen" w:hAnsi="Sylfaen"/>
          <w:sz w:val="24"/>
          <w:lang w:val="fr-FR"/>
        </w:rPr>
        <w:t xml:space="preserve"> </w:t>
      </w:r>
      <w:r w:rsidR="001D497E" w:rsidRPr="00855FDC">
        <w:rPr>
          <w:rFonts w:ascii="Sylfaen" w:hAnsi="Sylfaen"/>
          <w:sz w:val="24"/>
        </w:rPr>
        <w:t>արևադարձային</w:t>
      </w:r>
      <w:r w:rsidR="001D497E" w:rsidRPr="00855FDC">
        <w:rPr>
          <w:rFonts w:ascii="Sylfaen" w:hAnsi="Sylfaen"/>
          <w:sz w:val="24"/>
          <w:lang w:val="fr-FR"/>
        </w:rPr>
        <w:t xml:space="preserve"> </w:t>
      </w:r>
      <w:r w:rsidR="001D497E" w:rsidRPr="00855FDC">
        <w:rPr>
          <w:rFonts w:ascii="Sylfaen" w:hAnsi="Sylfaen"/>
          <w:sz w:val="24"/>
        </w:rPr>
        <w:t>անտառներից</w:t>
      </w:r>
      <w:r w:rsidR="001D497E" w:rsidRPr="00855FDC">
        <w:rPr>
          <w:rFonts w:ascii="Sylfaen" w:hAnsi="Sylfaen"/>
          <w:sz w:val="24"/>
          <w:lang w:val="fr-FR"/>
        </w:rPr>
        <w:t xml:space="preserve"> </w:t>
      </w:r>
      <w:r w:rsidR="001D497E" w:rsidRPr="00855FDC">
        <w:rPr>
          <w:rFonts w:ascii="Sylfaen" w:hAnsi="Sylfaen"/>
          <w:sz w:val="24"/>
        </w:rPr>
        <w:t>վտարելու</w:t>
      </w:r>
      <w:r w:rsidR="001D497E" w:rsidRPr="00855FDC">
        <w:rPr>
          <w:rFonts w:ascii="Sylfaen" w:hAnsi="Sylfaen"/>
          <w:sz w:val="24"/>
          <w:lang w:val="fr-FR"/>
        </w:rPr>
        <w:t xml:space="preserve"> </w:t>
      </w:r>
      <w:r w:rsidR="001D497E" w:rsidRPr="00855FDC">
        <w:rPr>
          <w:rFonts w:ascii="Sylfaen" w:hAnsi="Sylfaen"/>
          <w:sz w:val="24"/>
        </w:rPr>
        <w:t>համար</w:t>
      </w:r>
      <w:r w:rsidR="001D497E" w:rsidRPr="00855FDC">
        <w:rPr>
          <w:rFonts w:ascii="Sylfaen" w:hAnsi="Sylfaen"/>
          <w:sz w:val="24"/>
          <w:lang w:val="fr-FR"/>
        </w:rPr>
        <w:t>:</w:t>
      </w:r>
      <w:r w:rsidR="00CA1B43" w:rsidRPr="00855FDC">
        <w:rPr>
          <w:rFonts w:ascii="Sylfaen" w:hAnsi="Sylfaen"/>
          <w:sz w:val="24"/>
          <w:lang w:val="fr-FR"/>
        </w:rPr>
        <w:t xml:space="preserve"> </w:t>
      </w:r>
      <w:r w:rsidR="00696AC8" w:rsidRPr="00855FDC">
        <w:rPr>
          <w:rFonts w:ascii="Sylfaen" w:hAnsi="Sylfaen"/>
          <w:sz w:val="24"/>
        </w:rPr>
        <w:t>Հնչ</w:t>
      </w:r>
      <w:r w:rsidR="00D27094" w:rsidRPr="00855FDC">
        <w:rPr>
          <w:rFonts w:ascii="Sylfaen" w:hAnsi="Sylfaen"/>
          <w:sz w:val="24"/>
        </w:rPr>
        <w:t>եցրած</w:t>
      </w:r>
      <w:r w:rsidR="00D27094" w:rsidRPr="00855FDC">
        <w:rPr>
          <w:rFonts w:ascii="Sylfaen" w:hAnsi="Sylfaen"/>
          <w:sz w:val="24"/>
          <w:lang w:val="fr-FR"/>
        </w:rPr>
        <w:t xml:space="preserve"> </w:t>
      </w:r>
      <w:r w:rsidR="00D27094" w:rsidRPr="00855FDC">
        <w:rPr>
          <w:rFonts w:ascii="Sylfaen" w:hAnsi="Sylfaen"/>
          <w:sz w:val="24"/>
        </w:rPr>
        <w:t>մեղադրանքներից</w:t>
      </w:r>
      <w:r w:rsidR="00D27094" w:rsidRPr="00855FDC">
        <w:rPr>
          <w:rFonts w:ascii="Sylfaen" w:hAnsi="Sylfaen"/>
          <w:sz w:val="24"/>
          <w:lang w:val="fr-FR"/>
        </w:rPr>
        <w:t xml:space="preserve"> </w:t>
      </w:r>
      <w:r w:rsidR="00D27094" w:rsidRPr="00855FDC">
        <w:rPr>
          <w:rFonts w:ascii="Sylfaen" w:hAnsi="Sylfaen"/>
          <w:sz w:val="24"/>
        </w:rPr>
        <w:t>մի</w:t>
      </w:r>
      <w:r w:rsidR="00D27094" w:rsidRPr="00855FDC">
        <w:rPr>
          <w:rFonts w:ascii="Sylfaen" w:hAnsi="Sylfaen"/>
          <w:sz w:val="24"/>
          <w:lang w:val="fr-FR"/>
        </w:rPr>
        <w:t xml:space="preserve"> </w:t>
      </w:r>
      <w:r w:rsidR="00D27094" w:rsidRPr="00855FDC">
        <w:rPr>
          <w:rFonts w:ascii="Sylfaen" w:hAnsi="Sylfaen"/>
          <w:sz w:val="24"/>
        </w:rPr>
        <w:t>քանիսն</w:t>
      </w:r>
      <w:r w:rsidR="00D27094" w:rsidRPr="00855FDC">
        <w:rPr>
          <w:rFonts w:ascii="Sylfaen" w:hAnsi="Sylfaen"/>
          <w:sz w:val="24"/>
          <w:lang w:val="fr-FR"/>
        </w:rPr>
        <w:t xml:space="preserve"> </w:t>
      </w:r>
      <w:r w:rsidR="00D27094" w:rsidRPr="00855FDC">
        <w:rPr>
          <w:rFonts w:ascii="Sylfaen" w:hAnsi="Sylfaen"/>
          <w:sz w:val="24"/>
        </w:rPr>
        <w:t>էլ</w:t>
      </w:r>
      <w:r w:rsidR="00696AC8" w:rsidRPr="00855FDC">
        <w:rPr>
          <w:rFonts w:ascii="Sylfaen" w:hAnsi="Sylfaen"/>
          <w:sz w:val="24"/>
          <w:lang w:val="fr-FR"/>
        </w:rPr>
        <w:t xml:space="preserve"> </w:t>
      </w:r>
      <w:r w:rsidR="00696AC8" w:rsidRPr="00855FDC">
        <w:rPr>
          <w:rFonts w:ascii="Sylfaen" w:hAnsi="Sylfaen"/>
          <w:sz w:val="24"/>
        </w:rPr>
        <w:t>վերաբերում</w:t>
      </w:r>
      <w:r w:rsidR="00696AC8" w:rsidRPr="00855FDC">
        <w:rPr>
          <w:rFonts w:ascii="Sylfaen" w:hAnsi="Sylfaen"/>
          <w:sz w:val="24"/>
          <w:lang w:val="fr-FR"/>
        </w:rPr>
        <w:t xml:space="preserve"> </w:t>
      </w:r>
      <w:r w:rsidR="00696AC8" w:rsidRPr="00855FDC">
        <w:rPr>
          <w:rFonts w:ascii="Sylfaen" w:hAnsi="Sylfaen"/>
          <w:sz w:val="24"/>
        </w:rPr>
        <w:t>էին</w:t>
      </w:r>
      <w:r w:rsidR="00696AC8" w:rsidRPr="00855FDC">
        <w:rPr>
          <w:rFonts w:ascii="Sylfaen" w:hAnsi="Sylfaen"/>
          <w:sz w:val="24"/>
          <w:lang w:val="fr-FR"/>
        </w:rPr>
        <w:t xml:space="preserve"> McDonald</w:t>
      </w:r>
      <w:r w:rsidR="00133BF3">
        <w:rPr>
          <w:rFonts w:ascii="Sylfaen" w:hAnsi="Sylfaen"/>
          <w:sz w:val="24"/>
          <w:lang w:val="fr-FR"/>
        </w:rPr>
        <w:t>’</w:t>
      </w:r>
      <w:r w:rsidR="00696AC8" w:rsidRPr="00855FDC">
        <w:rPr>
          <w:rFonts w:ascii="Sylfaen" w:hAnsi="Sylfaen"/>
          <w:sz w:val="24"/>
          <w:lang w:val="fr-FR"/>
        </w:rPr>
        <w:t>s-</w:t>
      </w:r>
      <w:r w:rsidR="00696AC8" w:rsidRPr="00855FDC">
        <w:rPr>
          <w:rFonts w:ascii="Sylfaen" w:hAnsi="Sylfaen"/>
          <w:sz w:val="24"/>
        </w:rPr>
        <w:t>ի</w:t>
      </w:r>
      <w:r w:rsidR="00696AC8" w:rsidRPr="00855FDC">
        <w:rPr>
          <w:rFonts w:ascii="Sylfaen" w:hAnsi="Sylfaen"/>
          <w:sz w:val="24"/>
          <w:lang w:val="fr-FR"/>
        </w:rPr>
        <w:t xml:space="preserve"> </w:t>
      </w:r>
      <w:r w:rsidR="00696AC8" w:rsidRPr="00855FDC">
        <w:rPr>
          <w:rFonts w:ascii="Sylfaen" w:hAnsi="Sylfaen"/>
          <w:sz w:val="24"/>
        </w:rPr>
        <w:t>կողմից</w:t>
      </w:r>
      <w:r w:rsidR="00696AC8" w:rsidRPr="00855FDC">
        <w:rPr>
          <w:rFonts w:ascii="Sylfaen" w:hAnsi="Sylfaen"/>
          <w:sz w:val="24"/>
          <w:lang w:val="fr-FR"/>
        </w:rPr>
        <w:t xml:space="preserve"> </w:t>
      </w:r>
      <w:r w:rsidR="00696AC8" w:rsidRPr="00855FDC">
        <w:rPr>
          <w:rFonts w:ascii="Sylfaen" w:hAnsi="Sylfaen"/>
          <w:sz w:val="24"/>
        </w:rPr>
        <w:t>արտադրվող</w:t>
      </w:r>
      <w:r w:rsidR="00696AC8" w:rsidRPr="00855FDC">
        <w:rPr>
          <w:rFonts w:ascii="Sylfaen" w:hAnsi="Sylfaen"/>
          <w:sz w:val="24"/>
          <w:lang w:val="fr-FR"/>
        </w:rPr>
        <w:t xml:space="preserve"> </w:t>
      </w:r>
      <w:r w:rsidR="00696AC8" w:rsidRPr="00855FDC">
        <w:rPr>
          <w:rFonts w:ascii="Sylfaen" w:hAnsi="Sylfaen"/>
          <w:sz w:val="24"/>
        </w:rPr>
        <w:t>սննդի</w:t>
      </w:r>
      <w:r w:rsidR="00696AC8" w:rsidRPr="00855FDC">
        <w:rPr>
          <w:rFonts w:ascii="Sylfaen" w:hAnsi="Sylfaen"/>
          <w:sz w:val="24"/>
          <w:lang w:val="fr-FR"/>
        </w:rPr>
        <w:t xml:space="preserve"> </w:t>
      </w:r>
      <w:r w:rsidR="00696AC8" w:rsidRPr="00855FDC">
        <w:rPr>
          <w:rFonts w:ascii="Sylfaen" w:hAnsi="Sylfaen"/>
          <w:sz w:val="24"/>
        </w:rPr>
        <w:t>անորակությանը</w:t>
      </w:r>
      <w:r w:rsidR="00696AC8" w:rsidRPr="00855FDC">
        <w:rPr>
          <w:rFonts w:ascii="Sylfaen" w:hAnsi="Sylfaen"/>
          <w:sz w:val="24"/>
          <w:lang w:val="fr-FR"/>
        </w:rPr>
        <w:t xml:space="preserve"> </w:t>
      </w:r>
      <w:r w:rsidR="00D27094" w:rsidRPr="00855FDC">
        <w:rPr>
          <w:rFonts w:ascii="Sylfaen" w:hAnsi="Sylfaen"/>
          <w:sz w:val="24"/>
        </w:rPr>
        <w:t>և</w:t>
      </w:r>
      <w:r w:rsidR="00D27094" w:rsidRPr="00855FDC">
        <w:rPr>
          <w:rFonts w:ascii="Sylfaen" w:hAnsi="Sylfaen"/>
          <w:sz w:val="24"/>
          <w:lang w:val="fr-FR"/>
        </w:rPr>
        <w:t xml:space="preserve"> </w:t>
      </w:r>
      <w:r w:rsidR="00D27094" w:rsidRPr="00855FDC">
        <w:rPr>
          <w:rFonts w:ascii="Sylfaen" w:hAnsi="Sylfaen"/>
          <w:sz w:val="24"/>
        </w:rPr>
        <w:t>այն</w:t>
      </w:r>
      <w:r w:rsidR="00D27094" w:rsidRPr="00855FDC">
        <w:rPr>
          <w:rFonts w:ascii="Sylfaen" w:hAnsi="Sylfaen"/>
          <w:sz w:val="24"/>
          <w:lang w:val="fr-FR"/>
        </w:rPr>
        <w:t xml:space="preserve"> </w:t>
      </w:r>
      <w:r w:rsidR="00D27094" w:rsidRPr="00855FDC">
        <w:rPr>
          <w:rFonts w:ascii="Sylfaen" w:hAnsi="Sylfaen"/>
          <w:sz w:val="24"/>
        </w:rPr>
        <w:t>ուտելու</w:t>
      </w:r>
      <w:r w:rsidR="00D27094" w:rsidRPr="00855FDC">
        <w:rPr>
          <w:rFonts w:ascii="Sylfaen" w:hAnsi="Sylfaen"/>
          <w:sz w:val="24"/>
          <w:lang w:val="fr-FR"/>
        </w:rPr>
        <w:t xml:space="preserve"> </w:t>
      </w:r>
      <w:r w:rsidR="00D27094" w:rsidRPr="00855FDC">
        <w:rPr>
          <w:rFonts w:ascii="Sylfaen" w:hAnsi="Sylfaen"/>
          <w:sz w:val="24"/>
        </w:rPr>
        <w:t>արդյունքում</w:t>
      </w:r>
      <w:r w:rsidR="00D27094" w:rsidRPr="00855FDC">
        <w:rPr>
          <w:rFonts w:ascii="Sylfaen" w:hAnsi="Sylfaen"/>
          <w:sz w:val="24"/>
          <w:lang w:val="fr-FR"/>
        </w:rPr>
        <w:t xml:space="preserve"> </w:t>
      </w:r>
      <w:r w:rsidR="00D27094" w:rsidRPr="00855FDC">
        <w:rPr>
          <w:rFonts w:ascii="Sylfaen" w:hAnsi="Sylfaen"/>
          <w:sz w:val="24"/>
        </w:rPr>
        <w:t>առողջությանը</w:t>
      </w:r>
      <w:r w:rsidR="00D27094" w:rsidRPr="00855FDC">
        <w:rPr>
          <w:rFonts w:ascii="Sylfaen" w:hAnsi="Sylfaen"/>
          <w:sz w:val="24"/>
          <w:lang w:val="fr-FR"/>
        </w:rPr>
        <w:t xml:space="preserve"> </w:t>
      </w:r>
      <w:r w:rsidR="00D27094" w:rsidRPr="00855FDC">
        <w:rPr>
          <w:rFonts w:ascii="Sylfaen" w:hAnsi="Sylfaen"/>
          <w:sz w:val="24"/>
        </w:rPr>
        <w:t>սպառնացող</w:t>
      </w:r>
      <w:r w:rsidR="00D27094" w:rsidRPr="00855FDC">
        <w:rPr>
          <w:rFonts w:ascii="Sylfaen" w:hAnsi="Sylfaen"/>
          <w:sz w:val="24"/>
          <w:lang w:val="fr-FR"/>
        </w:rPr>
        <w:t xml:space="preserve"> </w:t>
      </w:r>
      <w:r w:rsidR="00D27094" w:rsidRPr="00855FDC">
        <w:rPr>
          <w:rFonts w:ascii="Sylfaen" w:hAnsi="Sylfaen"/>
          <w:sz w:val="24"/>
        </w:rPr>
        <w:t>վտանգներ</w:t>
      </w:r>
      <w:r w:rsidR="003E1D3D" w:rsidRPr="00855FDC">
        <w:rPr>
          <w:rFonts w:ascii="Sylfaen" w:hAnsi="Sylfaen"/>
          <w:sz w:val="24"/>
        </w:rPr>
        <w:t>ին</w:t>
      </w:r>
      <w:r w:rsidR="00D27094" w:rsidRPr="00855FDC">
        <w:rPr>
          <w:rFonts w:ascii="Sylfaen" w:hAnsi="Sylfaen"/>
          <w:sz w:val="24"/>
          <w:lang w:val="fr-FR"/>
        </w:rPr>
        <w:t xml:space="preserve">: </w:t>
      </w:r>
      <w:r w:rsidR="002C06DC" w:rsidRPr="00855FDC">
        <w:rPr>
          <w:rFonts w:ascii="Sylfaen" w:hAnsi="Sylfaen"/>
          <w:sz w:val="24"/>
        </w:rPr>
        <w:t>Եվ</w:t>
      </w:r>
      <w:r w:rsidR="002C06DC" w:rsidRPr="00855FDC">
        <w:rPr>
          <w:rFonts w:ascii="Sylfaen" w:hAnsi="Sylfaen"/>
          <w:sz w:val="24"/>
          <w:lang w:val="fr-FR"/>
        </w:rPr>
        <w:t xml:space="preserve"> </w:t>
      </w:r>
      <w:r w:rsidR="002C06DC" w:rsidRPr="00855FDC">
        <w:rPr>
          <w:rFonts w:ascii="Sylfaen" w:hAnsi="Sylfaen"/>
          <w:sz w:val="24"/>
        </w:rPr>
        <w:t>վ</w:t>
      </w:r>
      <w:r w:rsidR="003E1D3D" w:rsidRPr="00855FDC">
        <w:rPr>
          <w:rFonts w:ascii="Sylfaen" w:hAnsi="Sylfaen"/>
          <w:sz w:val="24"/>
        </w:rPr>
        <w:t>երջապես</w:t>
      </w:r>
      <w:r w:rsidR="003E1D3D" w:rsidRPr="00855FDC">
        <w:rPr>
          <w:rFonts w:ascii="Sylfaen" w:hAnsi="Sylfaen"/>
          <w:sz w:val="24"/>
          <w:lang w:val="fr-FR"/>
        </w:rPr>
        <w:t xml:space="preserve">, </w:t>
      </w:r>
      <w:r w:rsidR="002C06DC" w:rsidRPr="00855FDC">
        <w:rPr>
          <w:rFonts w:ascii="Sylfaen" w:hAnsi="Sylfaen"/>
          <w:sz w:val="24"/>
        </w:rPr>
        <w:t>պնդում</w:t>
      </w:r>
      <w:r w:rsidR="003E1D3D" w:rsidRPr="00855FDC">
        <w:rPr>
          <w:rFonts w:ascii="Sylfaen" w:hAnsi="Sylfaen"/>
          <w:sz w:val="24"/>
        </w:rPr>
        <w:t>ների</w:t>
      </w:r>
      <w:r w:rsidR="003E1D3D" w:rsidRPr="00855FDC">
        <w:rPr>
          <w:rFonts w:ascii="Sylfaen" w:hAnsi="Sylfaen"/>
          <w:sz w:val="24"/>
          <w:lang w:val="fr-FR"/>
        </w:rPr>
        <w:t xml:space="preserve"> </w:t>
      </w:r>
      <w:r w:rsidR="003E1D3D" w:rsidRPr="00855FDC">
        <w:rPr>
          <w:rFonts w:ascii="Sylfaen" w:hAnsi="Sylfaen"/>
          <w:sz w:val="24"/>
        </w:rPr>
        <w:t>մեկ</w:t>
      </w:r>
      <w:r w:rsidR="003E1D3D" w:rsidRPr="00855FDC">
        <w:rPr>
          <w:rFonts w:ascii="Sylfaen" w:hAnsi="Sylfaen"/>
          <w:sz w:val="24"/>
          <w:lang w:val="fr-FR"/>
        </w:rPr>
        <w:t xml:space="preserve"> </w:t>
      </w:r>
      <w:r w:rsidR="003E1D3D" w:rsidRPr="00855FDC">
        <w:rPr>
          <w:rFonts w:ascii="Sylfaen" w:hAnsi="Sylfaen"/>
          <w:sz w:val="24"/>
        </w:rPr>
        <w:t>այլ</w:t>
      </w:r>
      <w:r w:rsidR="003E1D3D" w:rsidRPr="00855FDC">
        <w:rPr>
          <w:rFonts w:ascii="Sylfaen" w:hAnsi="Sylfaen"/>
          <w:sz w:val="24"/>
          <w:lang w:val="fr-FR"/>
        </w:rPr>
        <w:t xml:space="preserve"> </w:t>
      </w:r>
      <w:r w:rsidR="003E1D3D" w:rsidRPr="00855FDC">
        <w:rPr>
          <w:rFonts w:ascii="Sylfaen" w:hAnsi="Sylfaen"/>
          <w:sz w:val="24"/>
        </w:rPr>
        <w:t>խումբ</w:t>
      </w:r>
      <w:r w:rsidR="003E1D3D" w:rsidRPr="00855FDC">
        <w:rPr>
          <w:rFonts w:ascii="Sylfaen" w:hAnsi="Sylfaen"/>
          <w:sz w:val="24"/>
          <w:lang w:val="fr-FR"/>
        </w:rPr>
        <w:t xml:space="preserve"> </w:t>
      </w:r>
      <w:r w:rsidR="003E1D3D" w:rsidRPr="00855FDC">
        <w:rPr>
          <w:rFonts w:ascii="Sylfaen" w:hAnsi="Sylfaen"/>
          <w:sz w:val="24"/>
        </w:rPr>
        <w:t>վերաբերում</w:t>
      </w:r>
      <w:r w:rsidR="003E1D3D" w:rsidRPr="00855FDC">
        <w:rPr>
          <w:rFonts w:ascii="Sylfaen" w:hAnsi="Sylfaen"/>
          <w:sz w:val="24"/>
          <w:lang w:val="fr-FR"/>
        </w:rPr>
        <w:t xml:space="preserve"> </w:t>
      </w:r>
      <w:r w:rsidR="003E1D3D" w:rsidRPr="00855FDC">
        <w:rPr>
          <w:rFonts w:ascii="Sylfaen" w:hAnsi="Sylfaen"/>
          <w:sz w:val="24"/>
        </w:rPr>
        <w:t>էր</w:t>
      </w:r>
      <w:r w:rsidR="003E1D3D" w:rsidRPr="00855FDC">
        <w:rPr>
          <w:rFonts w:ascii="Sylfaen" w:hAnsi="Sylfaen"/>
          <w:sz w:val="24"/>
          <w:lang w:val="fr-FR"/>
        </w:rPr>
        <w:t xml:space="preserve"> </w:t>
      </w:r>
      <w:r w:rsidR="003E1D3D" w:rsidRPr="00855FDC">
        <w:rPr>
          <w:rFonts w:ascii="Sylfaen" w:hAnsi="Sylfaen"/>
          <w:sz w:val="24"/>
        </w:rPr>
        <w:t>իրենց</w:t>
      </w:r>
      <w:r w:rsidR="003E1D3D" w:rsidRPr="00855FDC">
        <w:rPr>
          <w:rFonts w:ascii="Sylfaen" w:hAnsi="Sylfaen"/>
          <w:sz w:val="24"/>
          <w:lang w:val="fr-FR"/>
        </w:rPr>
        <w:t xml:space="preserve"> </w:t>
      </w:r>
      <w:r w:rsidR="003E1D3D" w:rsidRPr="00855FDC">
        <w:rPr>
          <w:rFonts w:ascii="Sylfaen" w:hAnsi="Sylfaen"/>
          <w:sz w:val="24"/>
        </w:rPr>
        <w:t>գովազդը</w:t>
      </w:r>
      <w:r w:rsidR="003E1D3D" w:rsidRPr="00855FDC">
        <w:rPr>
          <w:rFonts w:ascii="Sylfaen" w:hAnsi="Sylfaen"/>
          <w:sz w:val="24"/>
          <w:lang w:val="fr-FR"/>
        </w:rPr>
        <w:t xml:space="preserve"> </w:t>
      </w:r>
      <w:r w:rsidR="003E1D3D" w:rsidRPr="00855FDC">
        <w:rPr>
          <w:rFonts w:ascii="Sylfaen" w:hAnsi="Sylfaen"/>
          <w:sz w:val="24"/>
        </w:rPr>
        <w:t>հատկապես</w:t>
      </w:r>
      <w:r w:rsidR="003E1D3D" w:rsidRPr="00855FDC">
        <w:rPr>
          <w:rFonts w:ascii="Sylfaen" w:hAnsi="Sylfaen"/>
          <w:sz w:val="24"/>
          <w:lang w:val="fr-FR"/>
        </w:rPr>
        <w:t xml:space="preserve"> </w:t>
      </w:r>
      <w:r w:rsidR="003E1D3D" w:rsidRPr="00855FDC">
        <w:rPr>
          <w:rFonts w:ascii="Sylfaen" w:hAnsi="Sylfaen"/>
          <w:sz w:val="24"/>
        </w:rPr>
        <w:t>երեխաների</w:t>
      </w:r>
      <w:r w:rsidR="003E1D3D" w:rsidRPr="00855FDC">
        <w:rPr>
          <w:rFonts w:ascii="Sylfaen" w:hAnsi="Sylfaen"/>
          <w:sz w:val="24"/>
          <w:lang w:val="fr-FR"/>
        </w:rPr>
        <w:t xml:space="preserve"> </w:t>
      </w:r>
      <w:r w:rsidR="003E1D3D" w:rsidRPr="00855FDC">
        <w:rPr>
          <w:rFonts w:ascii="Sylfaen" w:hAnsi="Sylfaen"/>
          <w:sz w:val="24"/>
        </w:rPr>
        <w:t>համար</w:t>
      </w:r>
      <w:r w:rsidR="003E1D3D" w:rsidRPr="00855FDC">
        <w:rPr>
          <w:rFonts w:ascii="Sylfaen" w:hAnsi="Sylfaen"/>
          <w:sz w:val="24"/>
          <w:lang w:val="fr-FR"/>
        </w:rPr>
        <w:t xml:space="preserve"> </w:t>
      </w:r>
      <w:r w:rsidR="003E1D3D" w:rsidRPr="00855FDC">
        <w:rPr>
          <w:rFonts w:ascii="Sylfaen" w:hAnsi="Sylfaen"/>
          <w:sz w:val="24"/>
        </w:rPr>
        <w:t>թիրախավորել</w:t>
      </w:r>
      <w:r w:rsidR="002C06DC" w:rsidRPr="00855FDC">
        <w:rPr>
          <w:rFonts w:ascii="Sylfaen" w:hAnsi="Sylfaen"/>
          <w:sz w:val="24"/>
        </w:rPr>
        <w:t>ուն</w:t>
      </w:r>
      <w:r w:rsidR="003E1D3D" w:rsidRPr="00855FDC">
        <w:rPr>
          <w:rFonts w:ascii="Sylfaen" w:hAnsi="Sylfaen"/>
          <w:sz w:val="24"/>
          <w:lang w:val="fr-FR"/>
        </w:rPr>
        <w:t xml:space="preserve">, </w:t>
      </w:r>
      <w:r w:rsidR="003E1D3D" w:rsidRPr="00855FDC">
        <w:rPr>
          <w:rFonts w:ascii="Sylfaen" w:hAnsi="Sylfaen"/>
          <w:sz w:val="24"/>
        </w:rPr>
        <w:t>սննդում</w:t>
      </w:r>
      <w:r w:rsidR="003E1D3D" w:rsidRPr="00855FDC">
        <w:rPr>
          <w:rFonts w:ascii="Sylfaen" w:hAnsi="Sylfaen"/>
          <w:sz w:val="24"/>
          <w:lang w:val="fr-FR"/>
        </w:rPr>
        <w:t xml:space="preserve"> </w:t>
      </w:r>
      <w:r w:rsidR="003E1D3D" w:rsidRPr="00855FDC">
        <w:rPr>
          <w:rFonts w:ascii="Sylfaen" w:hAnsi="Sylfaen"/>
          <w:sz w:val="24"/>
        </w:rPr>
        <w:t>օգտագործվող</w:t>
      </w:r>
      <w:r w:rsidR="003E1D3D" w:rsidRPr="00855FDC">
        <w:rPr>
          <w:rFonts w:ascii="Sylfaen" w:hAnsi="Sylfaen"/>
          <w:sz w:val="24"/>
          <w:lang w:val="fr-FR"/>
        </w:rPr>
        <w:t xml:space="preserve"> </w:t>
      </w:r>
      <w:r w:rsidR="003E1D3D" w:rsidRPr="00855FDC">
        <w:rPr>
          <w:rFonts w:ascii="Sylfaen" w:hAnsi="Sylfaen"/>
          <w:sz w:val="24"/>
        </w:rPr>
        <w:t>մսի</w:t>
      </w:r>
      <w:r w:rsidR="003E1D3D" w:rsidRPr="00855FDC">
        <w:rPr>
          <w:rFonts w:ascii="Sylfaen" w:hAnsi="Sylfaen"/>
          <w:sz w:val="24"/>
          <w:lang w:val="fr-FR"/>
        </w:rPr>
        <w:t xml:space="preserve"> </w:t>
      </w:r>
      <w:r w:rsidR="003E1D3D" w:rsidRPr="00855FDC">
        <w:rPr>
          <w:rFonts w:ascii="Sylfaen" w:hAnsi="Sylfaen"/>
          <w:sz w:val="24"/>
        </w:rPr>
        <w:t>ստացման</w:t>
      </w:r>
      <w:r w:rsidR="003E1D3D" w:rsidRPr="00855FDC">
        <w:rPr>
          <w:rFonts w:ascii="Sylfaen" w:hAnsi="Sylfaen"/>
          <w:sz w:val="24"/>
          <w:lang w:val="fr-FR"/>
        </w:rPr>
        <w:t xml:space="preserve"> </w:t>
      </w:r>
      <w:r w:rsidR="003E1D3D" w:rsidRPr="00855FDC">
        <w:rPr>
          <w:rFonts w:ascii="Sylfaen" w:hAnsi="Sylfaen"/>
          <w:sz w:val="24"/>
        </w:rPr>
        <w:t>համար</w:t>
      </w:r>
      <w:r w:rsidR="003E1D3D" w:rsidRPr="00855FDC">
        <w:rPr>
          <w:rFonts w:ascii="Sylfaen" w:hAnsi="Sylfaen"/>
          <w:sz w:val="24"/>
          <w:lang w:val="fr-FR"/>
        </w:rPr>
        <w:t xml:space="preserve"> </w:t>
      </w:r>
      <w:r w:rsidR="003E1D3D" w:rsidRPr="00855FDC">
        <w:rPr>
          <w:rFonts w:ascii="Sylfaen" w:hAnsi="Sylfaen"/>
          <w:sz w:val="24"/>
        </w:rPr>
        <w:t>կենդանիների</w:t>
      </w:r>
      <w:r w:rsidR="003E1D3D" w:rsidRPr="00855FDC">
        <w:rPr>
          <w:rFonts w:ascii="Sylfaen" w:hAnsi="Sylfaen"/>
          <w:sz w:val="24"/>
          <w:lang w:val="fr-FR"/>
        </w:rPr>
        <w:t xml:space="preserve"> </w:t>
      </w:r>
      <w:r w:rsidR="003E1D3D" w:rsidRPr="00855FDC">
        <w:rPr>
          <w:rFonts w:ascii="Sylfaen" w:hAnsi="Sylfaen"/>
          <w:sz w:val="24"/>
        </w:rPr>
        <w:t>բուծման</w:t>
      </w:r>
      <w:r w:rsidR="003E1D3D" w:rsidRPr="00855FDC">
        <w:rPr>
          <w:rFonts w:ascii="Sylfaen" w:hAnsi="Sylfaen"/>
          <w:sz w:val="24"/>
          <w:lang w:val="fr-FR"/>
        </w:rPr>
        <w:t xml:space="preserve"> </w:t>
      </w:r>
      <w:r w:rsidR="003E1D3D" w:rsidRPr="00855FDC">
        <w:rPr>
          <w:rFonts w:ascii="Sylfaen" w:hAnsi="Sylfaen"/>
          <w:sz w:val="24"/>
        </w:rPr>
        <w:t>և</w:t>
      </w:r>
      <w:r w:rsidR="003E1D3D" w:rsidRPr="00855FDC">
        <w:rPr>
          <w:rFonts w:ascii="Sylfaen" w:hAnsi="Sylfaen"/>
          <w:sz w:val="24"/>
          <w:lang w:val="fr-FR"/>
        </w:rPr>
        <w:t xml:space="preserve"> </w:t>
      </w:r>
      <w:r w:rsidR="003E1D3D" w:rsidRPr="00855FDC">
        <w:rPr>
          <w:rFonts w:ascii="Sylfaen" w:hAnsi="Sylfaen"/>
          <w:sz w:val="24"/>
        </w:rPr>
        <w:t>սպանդի</w:t>
      </w:r>
      <w:r w:rsidR="003E1D3D" w:rsidRPr="00855FDC">
        <w:rPr>
          <w:rFonts w:ascii="Sylfaen" w:hAnsi="Sylfaen"/>
          <w:sz w:val="24"/>
          <w:lang w:val="fr-FR"/>
        </w:rPr>
        <w:t xml:space="preserve"> </w:t>
      </w:r>
      <w:r w:rsidR="003E1D3D" w:rsidRPr="00855FDC">
        <w:rPr>
          <w:rFonts w:ascii="Sylfaen" w:hAnsi="Sylfaen"/>
          <w:sz w:val="24"/>
        </w:rPr>
        <w:t>ժամանակ</w:t>
      </w:r>
      <w:r w:rsidR="003E1D3D" w:rsidRPr="00AB7FB9">
        <w:rPr>
          <w:rFonts w:ascii="Sylfaen" w:hAnsi="Sylfaen"/>
          <w:sz w:val="24"/>
          <w:lang w:val="fr-FR"/>
        </w:rPr>
        <w:t xml:space="preserve"> </w:t>
      </w:r>
      <w:r w:rsidR="003E1D3D" w:rsidRPr="00855FDC">
        <w:rPr>
          <w:rFonts w:ascii="Sylfaen" w:hAnsi="Sylfaen"/>
          <w:sz w:val="24"/>
        </w:rPr>
        <w:t>դաժան</w:t>
      </w:r>
      <w:r w:rsidR="003E1D3D" w:rsidRPr="00AB7FB9">
        <w:rPr>
          <w:rFonts w:ascii="Sylfaen" w:hAnsi="Sylfaen"/>
          <w:sz w:val="24"/>
          <w:lang w:val="fr-FR"/>
        </w:rPr>
        <w:t xml:space="preserve"> </w:t>
      </w:r>
      <w:r w:rsidR="0092021A" w:rsidRPr="00855FDC">
        <w:rPr>
          <w:rFonts w:ascii="Sylfaen" w:hAnsi="Sylfaen"/>
          <w:sz w:val="24"/>
        </w:rPr>
        <w:t>գործելակերպ</w:t>
      </w:r>
      <w:r w:rsidR="002C06DC" w:rsidRPr="00855FDC">
        <w:rPr>
          <w:rFonts w:ascii="Sylfaen" w:hAnsi="Sylfaen"/>
          <w:sz w:val="24"/>
        </w:rPr>
        <w:t>ին</w:t>
      </w:r>
      <w:r w:rsidR="0092021A" w:rsidRPr="00AB7FB9">
        <w:rPr>
          <w:rFonts w:ascii="Sylfaen" w:hAnsi="Sylfaen"/>
          <w:sz w:val="24"/>
          <w:lang w:val="fr-FR"/>
        </w:rPr>
        <w:t xml:space="preserve"> </w:t>
      </w:r>
      <w:r w:rsidR="0092021A" w:rsidRPr="00855FDC">
        <w:rPr>
          <w:rFonts w:ascii="Sylfaen" w:hAnsi="Sylfaen"/>
          <w:sz w:val="24"/>
        </w:rPr>
        <w:t>կամ</w:t>
      </w:r>
      <w:r w:rsidR="0092021A" w:rsidRPr="00AB7FB9">
        <w:rPr>
          <w:rFonts w:ascii="Sylfaen" w:hAnsi="Sylfaen"/>
          <w:sz w:val="24"/>
          <w:lang w:val="fr-FR"/>
        </w:rPr>
        <w:t xml:space="preserve"> </w:t>
      </w:r>
      <w:r w:rsidR="0092021A" w:rsidRPr="00855FDC">
        <w:rPr>
          <w:rFonts w:ascii="Sylfaen" w:hAnsi="Sylfaen"/>
          <w:sz w:val="24"/>
        </w:rPr>
        <w:t>կորպորացիայում</w:t>
      </w:r>
      <w:r w:rsidR="0092021A" w:rsidRPr="00AB7FB9">
        <w:rPr>
          <w:rFonts w:ascii="Sylfaen" w:hAnsi="Sylfaen"/>
          <w:sz w:val="24"/>
          <w:lang w:val="fr-FR"/>
        </w:rPr>
        <w:t xml:space="preserve"> </w:t>
      </w:r>
      <w:r w:rsidR="0092021A" w:rsidRPr="00855FDC">
        <w:rPr>
          <w:rFonts w:ascii="Sylfaen" w:hAnsi="Sylfaen"/>
          <w:sz w:val="24"/>
        </w:rPr>
        <w:t>աշխատանքի</w:t>
      </w:r>
      <w:r w:rsidR="0092021A" w:rsidRPr="00AB7FB9">
        <w:rPr>
          <w:rFonts w:ascii="Sylfaen" w:hAnsi="Sylfaen"/>
          <w:sz w:val="24"/>
          <w:lang w:val="fr-FR"/>
        </w:rPr>
        <w:t xml:space="preserve"> </w:t>
      </w:r>
      <w:r w:rsidR="0092021A" w:rsidRPr="00855FDC">
        <w:rPr>
          <w:rFonts w:ascii="Sylfaen" w:hAnsi="Sylfaen"/>
          <w:sz w:val="24"/>
        </w:rPr>
        <w:t>ոչ</w:t>
      </w:r>
      <w:r w:rsidR="0092021A" w:rsidRPr="00AB7FB9">
        <w:rPr>
          <w:rFonts w:ascii="Sylfaen" w:hAnsi="Sylfaen"/>
          <w:sz w:val="24"/>
          <w:lang w:val="fr-FR"/>
        </w:rPr>
        <w:t xml:space="preserve"> </w:t>
      </w:r>
      <w:r w:rsidR="0092021A" w:rsidRPr="00855FDC">
        <w:rPr>
          <w:rFonts w:ascii="Sylfaen" w:hAnsi="Sylfaen"/>
          <w:sz w:val="24"/>
        </w:rPr>
        <w:t>բավարար</w:t>
      </w:r>
      <w:r w:rsidR="0092021A" w:rsidRPr="00AB7FB9">
        <w:rPr>
          <w:rFonts w:ascii="Sylfaen" w:hAnsi="Sylfaen"/>
          <w:sz w:val="24"/>
          <w:lang w:val="fr-FR"/>
        </w:rPr>
        <w:t xml:space="preserve"> </w:t>
      </w:r>
      <w:r w:rsidR="0092021A" w:rsidRPr="00855FDC">
        <w:rPr>
          <w:rFonts w:ascii="Sylfaen" w:hAnsi="Sylfaen"/>
          <w:sz w:val="24"/>
        </w:rPr>
        <w:t>պայմ</w:t>
      </w:r>
      <w:r w:rsidR="002C06DC" w:rsidRPr="00855FDC">
        <w:rPr>
          <w:rFonts w:ascii="Sylfaen" w:hAnsi="Sylfaen"/>
          <w:sz w:val="24"/>
        </w:rPr>
        <w:t>աններին</w:t>
      </w:r>
      <w:r w:rsidR="0092021A" w:rsidRPr="00AB7FB9">
        <w:rPr>
          <w:rFonts w:ascii="Sylfaen" w:hAnsi="Sylfaen"/>
          <w:sz w:val="24"/>
          <w:lang w:val="fr-FR"/>
        </w:rPr>
        <w:t>:</w:t>
      </w:r>
      <w:r w:rsidR="00CA1B43" w:rsidRPr="00AB7FB9">
        <w:rPr>
          <w:rFonts w:ascii="Sylfaen" w:hAnsi="Sylfaen"/>
          <w:sz w:val="24"/>
          <w:lang w:val="fr-FR"/>
        </w:rPr>
        <w:t xml:space="preserve"> </w:t>
      </w:r>
      <w:r w:rsidR="002439F5" w:rsidRPr="00AB7FB9">
        <w:rPr>
          <w:rFonts w:ascii="Sylfaen" w:hAnsi="Sylfaen"/>
          <w:sz w:val="24"/>
          <w:lang w:val="fr-FR"/>
        </w:rPr>
        <w:t>McDonald</w:t>
      </w:r>
      <w:r w:rsidR="00133BF3" w:rsidRPr="00AB7FB9">
        <w:rPr>
          <w:rFonts w:ascii="Sylfaen" w:hAnsi="Sylfaen"/>
          <w:sz w:val="24"/>
          <w:lang w:val="fr-FR"/>
        </w:rPr>
        <w:t>’</w:t>
      </w:r>
      <w:r w:rsidR="002439F5" w:rsidRPr="00AB7FB9">
        <w:rPr>
          <w:rFonts w:ascii="Sylfaen" w:hAnsi="Sylfaen"/>
          <w:sz w:val="24"/>
          <w:lang w:val="fr-FR"/>
        </w:rPr>
        <w:t>s-</w:t>
      </w:r>
      <w:r w:rsidR="002439F5" w:rsidRPr="00855FDC">
        <w:rPr>
          <w:rFonts w:ascii="Sylfaen" w:hAnsi="Sylfaen"/>
          <w:sz w:val="24"/>
        </w:rPr>
        <w:t>ը</w:t>
      </w:r>
      <w:r w:rsidR="002439F5" w:rsidRPr="00AB7FB9">
        <w:rPr>
          <w:rFonts w:ascii="Sylfaen" w:hAnsi="Sylfaen"/>
          <w:sz w:val="24"/>
          <w:lang w:val="fr-FR"/>
        </w:rPr>
        <w:t xml:space="preserve"> </w:t>
      </w:r>
      <w:r w:rsidR="006B7EE5" w:rsidRPr="00855FDC">
        <w:rPr>
          <w:rFonts w:ascii="Sylfaen" w:hAnsi="Sylfaen"/>
          <w:sz w:val="24"/>
        </w:rPr>
        <w:t>դիմումատուների</w:t>
      </w:r>
      <w:r w:rsidR="002439F5" w:rsidRPr="00AB7FB9">
        <w:rPr>
          <w:rFonts w:ascii="Sylfaen" w:hAnsi="Sylfaen"/>
          <w:sz w:val="24"/>
          <w:lang w:val="fr-FR"/>
        </w:rPr>
        <w:t xml:space="preserve"> </w:t>
      </w:r>
      <w:r w:rsidR="002439F5" w:rsidRPr="00855FDC">
        <w:rPr>
          <w:rFonts w:ascii="Sylfaen" w:hAnsi="Sylfaen"/>
          <w:sz w:val="24"/>
        </w:rPr>
        <w:t>դեմ</w:t>
      </w:r>
      <w:r w:rsidR="002439F5" w:rsidRPr="00AB7FB9">
        <w:rPr>
          <w:rFonts w:ascii="Sylfaen" w:hAnsi="Sylfaen"/>
          <w:sz w:val="24"/>
          <w:lang w:val="fr-FR"/>
        </w:rPr>
        <w:t xml:space="preserve"> </w:t>
      </w:r>
      <w:r w:rsidR="002439F5" w:rsidRPr="00855FDC">
        <w:rPr>
          <w:rFonts w:ascii="Sylfaen" w:hAnsi="Sylfaen"/>
          <w:sz w:val="24"/>
        </w:rPr>
        <w:t>հայց</w:t>
      </w:r>
      <w:r w:rsidR="002439F5" w:rsidRPr="00AB7FB9">
        <w:rPr>
          <w:rFonts w:ascii="Sylfaen" w:hAnsi="Sylfaen"/>
          <w:sz w:val="24"/>
          <w:lang w:val="fr-FR"/>
        </w:rPr>
        <w:t xml:space="preserve"> </w:t>
      </w:r>
      <w:r w:rsidR="002439F5" w:rsidRPr="00855FDC">
        <w:rPr>
          <w:rFonts w:ascii="Sylfaen" w:hAnsi="Sylfaen"/>
          <w:sz w:val="24"/>
        </w:rPr>
        <w:t>էր</w:t>
      </w:r>
      <w:r w:rsidR="002439F5" w:rsidRPr="00AB7FB9">
        <w:rPr>
          <w:rFonts w:ascii="Sylfaen" w:hAnsi="Sylfaen"/>
          <w:sz w:val="24"/>
          <w:lang w:val="fr-FR"/>
        </w:rPr>
        <w:t xml:space="preserve"> </w:t>
      </w:r>
      <w:r w:rsidR="002439F5" w:rsidRPr="00855FDC">
        <w:rPr>
          <w:rFonts w:ascii="Sylfaen" w:hAnsi="Sylfaen"/>
          <w:sz w:val="24"/>
        </w:rPr>
        <w:t>ներկայացրել</w:t>
      </w:r>
      <w:r w:rsidR="002439F5" w:rsidRPr="00AB7FB9">
        <w:rPr>
          <w:rFonts w:ascii="Sylfaen" w:hAnsi="Sylfaen"/>
          <w:sz w:val="24"/>
          <w:lang w:val="fr-FR"/>
        </w:rPr>
        <w:t xml:space="preserve">` </w:t>
      </w:r>
      <w:r w:rsidR="002439F5" w:rsidRPr="00855FDC">
        <w:rPr>
          <w:rFonts w:ascii="Sylfaen" w:hAnsi="Sylfaen"/>
          <w:sz w:val="24"/>
        </w:rPr>
        <w:t>պահանջելով</w:t>
      </w:r>
      <w:r w:rsidR="002439F5" w:rsidRPr="00AB7FB9">
        <w:rPr>
          <w:rFonts w:ascii="Sylfaen" w:hAnsi="Sylfaen"/>
          <w:sz w:val="24"/>
          <w:lang w:val="fr-FR"/>
        </w:rPr>
        <w:t xml:space="preserve"> </w:t>
      </w:r>
      <w:r w:rsidR="002439F5" w:rsidRPr="00855FDC">
        <w:rPr>
          <w:rFonts w:ascii="Sylfaen" w:hAnsi="Sylfaen"/>
          <w:sz w:val="24"/>
        </w:rPr>
        <w:t>փոխհատուցել</w:t>
      </w:r>
      <w:r w:rsidR="002439F5" w:rsidRPr="00AB7FB9">
        <w:rPr>
          <w:rFonts w:ascii="Sylfaen" w:hAnsi="Sylfaen"/>
          <w:sz w:val="24"/>
          <w:lang w:val="fr-FR"/>
        </w:rPr>
        <w:t xml:space="preserve"> </w:t>
      </w:r>
      <w:r w:rsidR="002439F5" w:rsidRPr="00855FDC">
        <w:rPr>
          <w:rFonts w:ascii="Sylfaen" w:hAnsi="Sylfaen"/>
          <w:sz w:val="24"/>
        </w:rPr>
        <w:t>վերջինիս</w:t>
      </w:r>
      <w:r w:rsidR="002439F5" w:rsidRPr="00AB7FB9">
        <w:rPr>
          <w:rFonts w:ascii="Sylfaen" w:hAnsi="Sylfaen"/>
          <w:sz w:val="24"/>
          <w:lang w:val="fr-FR"/>
        </w:rPr>
        <w:t xml:space="preserve"> </w:t>
      </w:r>
      <w:r w:rsidR="002439F5" w:rsidRPr="00855FDC">
        <w:rPr>
          <w:rFonts w:ascii="Sylfaen" w:hAnsi="Sylfaen"/>
          <w:sz w:val="24"/>
        </w:rPr>
        <w:t>գործունեության</w:t>
      </w:r>
      <w:r w:rsidR="002439F5" w:rsidRPr="00AB7FB9">
        <w:rPr>
          <w:rFonts w:ascii="Sylfaen" w:hAnsi="Sylfaen"/>
          <w:sz w:val="24"/>
          <w:lang w:val="fr-FR"/>
        </w:rPr>
        <w:t xml:space="preserve"> </w:t>
      </w:r>
      <w:r w:rsidR="002439F5" w:rsidRPr="00855FDC">
        <w:rPr>
          <w:rFonts w:ascii="Sylfaen" w:hAnsi="Sylfaen"/>
          <w:sz w:val="24"/>
        </w:rPr>
        <w:t>արդյունքում</w:t>
      </w:r>
      <w:r w:rsidR="002439F5" w:rsidRPr="00AB7FB9">
        <w:rPr>
          <w:rFonts w:ascii="Sylfaen" w:hAnsi="Sylfaen"/>
          <w:sz w:val="24"/>
          <w:lang w:val="fr-FR"/>
        </w:rPr>
        <w:t xml:space="preserve"> </w:t>
      </w:r>
      <w:r w:rsidR="002439F5" w:rsidRPr="00855FDC">
        <w:rPr>
          <w:rFonts w:ascii="Sylfaen" w:hAnsi="Sylfaen"/>
          <w:sz w:val="24"/>
        </w:rPr>
        <w:t>ընկերությանը</w:t>
      </w:r>
      <w:r w:rsidR="002439F5" w:rsidRPr="00AB7FB9">
        <w:rPr>
          <w:rFonts w:ascii="Sylfaen" w:hAnsi="Sylfaen"/>
          <w:sz w:val="24"/>
          <w:lang w:val="fr-FR"/>
        </w:rPr>
        <w:t xml:space="preserve"> </w:t>
      </w:r>
      <w:r w:rsidR="002439F5" w:rsidRPr="00855FDC">
        <w:rPr>
          <w:rFonts w:ascii="Sylfaen" w:hAnsi="Sylfaen"/>
          <w:sz w:val="24"/>
        </w:rPr>
        <w:t>պատճառված</w:t>
      </w:r>
      <w:r w:rsidR="002439F5" w:rsidRPr="00AB7FB9">
        <w:rPr>
          <w:rFonts w:ascii="Sylfaen" w:hAnsi="Sylfaen"/>
          <w:sz w:val="24"/>
          <w:lang w:val="fr-FR"/>
        </w:rPr>
        <w:t xml:space="preserve"> </w:t>
      </w:r>
      <w:r w:rsidR="002439F5" w:rsidRPr="00855FDC">
        <w:rPr>
          <w:rFonts w:ascii="Sylfaen" w:hAnsi="Sylfaen"/>
          <w:sz w:val="24"/>
        </w:rPr>
        <w:t>վնասը</w:t>
      </w:r>
      <w:r w:rsidR="002C06DC" w:rsidRPr="00AB7FB9">
        <w:rPr>
          <w:rFonts w:ascii="Sylfaen" w:hAnsi="Sylfaen"/>
          <w:sz w:val="24"/>
          <w:lang w:val="fr-FR"/>
        </w:rPr>
        <w:t xml:space="preserve">: </w:t>
      </w:r>
      <w:r w:rsidR="00CA1B43" w:rsidRPr="00855FDC">
        <w:rPr>
          <w:rFonts w:ascii="Sylfaen" w:hAnsi="Sylfaen"/>
          <w:sz w:val="24"/>
        </w:rPr>
        <w:t>Դիմումատուները</w:t>
      </w:r>
      <w:r w:rsidR="000472F6" w:rsidRPr="00AB7FB9">
        <w:rPr>
          <w:rFonts w:ascii="Sylfaen" w:hAnsi="Sylfaen"/>
          <w:sz w:val="24"/>
          <w:lang w:val="fr-FR"/>
        </w:rPr>
        <w:t xml:space="preserve"> </w:t>
      </w:r>
      <w:r w:rsidR="000472F6" w:rsidRPr="00855FDC">
        <w:rPr>
          <w:rFonts w:ascii="Sylfaen" w:hAnsi="Sylfaen"/>
          <w:sz w:val="24"/>
        </w:rPr>
        <w:t>հերք</w:t>
      </w:r>
      <w:r w:rsidR="002C06DC" w:rsidRPr="00855FDC">
        <w:rPr>
          <w:rFonts w:ascii="Sylfaen" w:hAnsi="Sylfaen"/>
          <w:sz w:val="24"/>
        </w:rPr>
        <w:t>ում</w:t>
      </w:r>
      <w:r w:rsidR="002C06DC" w:rsidRPr="00AB7FB9">
        <w:rPr>
          <w:rFonts w:ascii="Sylfaen" w:hAnsi="Sylfaen"/>
          <w:sz w:val="24"/>
          <w:lang w:val="fr-FR"/>
        </w:rPr>
        <w:t xml:space="preserve"> </w:t>
      </w:r>
      <w:r w:rsidR="002C06DC" w:rsidRPr="00855FDC">
        <w:rPr>
          <w:rFonts w:ascii="Sylfaen" w:hAnsi="Sylfaen"/>
          <w:sz w:val="24"/>
        </w:rPr>
        <w:t>է</w:t>
      </w:r>
      <w:r w:rsidR="00CA1B43" w:rsidRPr="00855FDC">
        <w:rPr>
          <w:rFonts w:ascii="Sylfaen" w:hAnsi="Sylfaen"/>
          <w:sz w:val="24"/>
        </w:rPr>
        <w:t>ին</w:t>
      </w:r>
      <w:r w:rsidR="000472F6" w:rsidRPr="00AB7FB9">
        <w:rPr>
          <w:rFonts w:ascii="Sylfaen" w:hAnsi="Sylfaen"/>
          <w:sz w:val="24"/>
          <w:lang w:val="fr-FR"/>
        </w:rPr>
        <w:t xml:space="preserve"> </w:t>
      </w:r>
      <w:r w:rsidR="000472F6" w:rsidRPr="00855FDC">
        <w:rPr>
          <w:rFonts w:ascii="Sylfaen" w:hAnsi="Sylfaen"/>
          <w:sz w:val="24"/>
        </w:rPr>
        <w:t>տեղեկատվական</w:t>
      </w:r>
      <w:r w:rsidR="000472F6" w:rsidRPr="00AB7FB9">
        <w:rPr>
          <w:rFonts w:ascii="Sylfaen" w:hAnsi="Sylfaen"/>
          <w:sz w:val="24"/>
          <w:lang w:val="fr-FR"/>
        </w:rPr>
        <w:t xml:space="preserve"> </w:t>
      </w:r>
      <w:r w:rsidR="000472F6" w:rsidRPr="00855FDC">
        <w:rPr>
          <w:rFonts w:ascii="Sylfaen" w:hAnsi="Sylfaen"/>
          <w:sz w:val="24"/>
        </w:rPr>
        <w:t>թեր</w:t>
      </w:r>
      <w:r w:rsidR="00CA1B43" w:rsidRPr="00855FDC">
        <w:rPr>
          <w:rFonts w:ascii="Sylfaen" w:hAnsi="Sylfaen"/>
          <w:sz w:val="24"/>
        </w:rPr>
        <w:t>թիկ</w:t>
      </w:r>
      <w:r w:rsidR="000472F6" w:rsidRPr="00855FDC">
        <w:rPr>
          <w:rFonts w:ascii="Sylfaen" w:hAnsi="Sylfaen"/>
          <w:sz w:val="24"/>
        </w:rPr>
        <w:t>ի</w:t>
      </w:r>
      <w:r w:rsidR="002C06DC" w:rsidRPr="00AB7FB9">
        <w:rPr>
          <w:rFonts w:ascii="Sylfaen" w:hAnsi="Sylfaen"/>
          <w:sz w:val="24"/>
          <w:lang w:val="fr-FR"/>
        </w:rPr>
        <w:t>`</w:t>
      </w:r>
      <w:r w:rsidR="000472F6" w:rsidRPr="00AB7FB9">
        <w:rPr>
          <w:rFonts w:ascii="Sylfaen" w:hAnsi="Sylfaen"/>
          <w:sz w:val="24"/>
          <w:lang w:val="fr-FR"/>
        </w:rPr>
        <w:t xml:space="preserve"> </w:t>
      </w:r>
      <w:r w:rsidR="000472F6" w:rsidRPr="00855FDC">
        <w:rPr>
          <w:rFonts w:ascii="Sylfaen" w:hAnsi="Sylfaen"/>
          <w:sz w:val="24"/>
        </w:rPr>
        <w:t>իր</w:t>
      </w:r>
      <w:r w:rsidR="00CA1B43" w:rsidRPr="00855FDC">
        <w:rPr>
          <w:rFonts w:ascii="Sylfaen" w:hAnsi="Sylfaen"/>
          <w:sz w:val="24"/>
        </w:rPr>
        <w:t>ենց</w:t>
      </w:r>
      <w:r w:rsidR="000472F6" w:rsidRPr="00AB7FB9">
        <w:rPr>
          <w:rFonts w:ascii="Sylfaen" w:hAnsi="Sylfaen"/>
          <w:sz w:val="24"/>
          <w:lang w:val="fr-FR"/>
        </w:rPr>
        <w:t xml:space="preserve"> </w:t>
      </w:r>
      <w:r w:rsidR="000472F6" w:rsidRPr="00855FDC">
        <w:rPr>
          <w:rFonts w:ascii="Sylfaen" w:hAnsi="Sylfaen"/>
          <w:sz w:val="24"/>
        </w:rPr>
        <w:t>կողմից</w:t>
      </w:r>
      <w:r w:rsidR="000472F6" w:rsidRPr="00AB7FB9">
        <w:rPr>
          <w:rFonts w:ascii="Sylfaen" w:hAnsi="Sylfaen"/>
          <w:sz w:val="24"/>
          <w:lang w:val="fr-FR"/>
        </w:rPr>
        <w:t xml:space="preserve"> </w:t>
      </w:r>
      <w:r w:rsidR="000472F6" w:rsidRPr="00855FDC">
        <w:rPr>
          <w:rFonts w:ascii="Sylfaen" w:hAnsi="Sylfaen"/>
          <w:sz w:val="24"/>
        </w:rPr>
        <w:t>հրատարակված</w:t>
      </w:r>
      <w:r w:rsidR="000472F6" w:rsidRPr="00AB7FB9">
        <w:rPr>
          <w:rFonts w:ascii="Sylfaen" w:hAnsi="Sylfaen"/>
          <w:sz w:val="24"/>
          <w:lang w:val="fr-FR"/>
        </w:rPr>
        <w:t xml:space="preserve"> </w:t>
      </w:r>
      <w:r w:rsidR="000472F6" w:rsidRPr="00855FDC">
        <w:rPr>
          <w:rFonts w:ascii="Sylfaen" w:hAnsi="Sylfaen"/>
          <w:sz w:val="24"/>
        </w:rPr>
        <w:t>լինելու</w:t>
      </w:r>
      <w:r w:rsidR="000472F6" w:rsidRPr="00AB7FB9">
        <w:rPr>
          <w:rFonts w:ascii="Sylfaen" w:hAnsi="Sylfaen"/>
          <w:sz w:val="24"/>
          <w:lang w:val="fr-FR"/>
        </w:rPr>
        <w:t xml:space="preserve"> </w:t>
      </w:r>
      <w:r w:rsidR="000472F6" w:rsidRPr="00855FDC">
        <w:rPr>
          <w:rFonts w:ascii="Sylfaen" w:hAnsi="Sylfaen"/>
          <w:sz w:val="24"/>
        </w:rPr>
        <w:t>փաստը</w:t>
      </w:r>
      <w:r w:rsidR="000472F6" w:rsidRPr="00AB7FB9">
        <w:rPr>
          <w:rFonts w:ascii="Sylfaen" w:hAnsi="Sylfaen"/>
          <w:sz w:val="24"/>
          <w:lang w:val="fr-FR"/>
        </w:rPr>
        <w:t xml:space="preserve"> </w:t>
      </w:r>
      <w:r w:rsidR="000472F6" w:rsidRPr="00855FDC">
        <w:rPr>
          <w:rFonts w:ascii="Sylfaen" w:hAnsi="Sylfaen"/>
          <w:sz w:val="24"/>
        </w:rPr>
        <w:t>կամ</w:t>
      </w:r>
      <w:r w:rsidR="000472F6" w:rsidRPr="00AB7FB9">
        <w:rPr>
          <w:rFonts w:ascii="Sylfaen" w:hAnsi="Sylfaen"/>
          <w:sz w:val="24"/>
          <w:lang w:val="fr-FR"/>
        </w:rPr>
        <w:t xml:space="preserve"> </w:t>
      </w:r>
      <w:r w:rsidR="000472F6" w:rsidRPr="00855FDC">
        <w:rPr>
          <w:rFonts w:ascii="Sylfaen" w:hAnsi="Sylfaen"/>
          <w:sz w:val="24"/>
        </w:rPr>
        <w:t>դրա</w:t>
      </w:r>
      <w:r w:rsidR="000472F6" w:rsidRPr="00AB7FB9">
        <w:rPr>
          <w:rFonts w:ascii="Sylfaen" w:hAnsi="Sylfaen"/>
          <w:sz w:val="24"/>
          <w:lang w:val="fr-FR"/>
        </w:rPr>
        <w:t xml:space="preserve"> </w:t>
      </w:r>
      <w:r w:rsidR="000472F6" w:rsidRPr="00855FDC">
        <w:rPr>
          <w:rFonts w:ascii="Sylfaen" w:hAnsi="Sylfaen"/>
          <w:sz w:val="24"/>
        </w:rPr>
        <w:t>մեջ</w:t>
      </w:r>
      <w:r w:rsidR="000472F6" w:rsidRPr="00AB7FB9">
        <w:rPr>
          <w:rFonts w:ascii="Sylfaen" w:hAnsi="Sylfaen"/>
          <w:sz w:val="24"/>
          <w:lang w:val="fr-FR"/>
        </w:rPr>
        <w:t xml:space="preserve"> </w:t>
      </w:r>
      <w:r w:rsidR="000472F6" w:rsidRPr="00855FDC">
        <w:rPr>
          <w:rFonts w:ascii="Sylfaen" w:hAnsi="Sylfaen"/>
          <w:sz w:val="24"/>
        </w:rPr>
        <w:t>առկա</w:t>
      </w:r>
      <w:r w:rsidR="000472F6" w:rsidRPr="00AB7FB9">
        <w:rPr>
          <w:rFonts w:ascii="Sylfaen" w:hAnsi="Sylfaen"/>
          <w:sz w:val="24"/>
          <w:lang w:val="fr-FR"/>
        </w:rPr>
        <w:t xml:space="preserve"> </w:t>
      </w:r>
      <w:r w:rsidR="000472F6" w:rsidRPr="00855FDC">
        <w:rPr>
          <w:rFonts w:ascii="Sylfaen" w:hAnsi="Sylfaen"/>
          <w:sz w:val="24"/>
        </w:rPr>
        <w:t>տեղեկատվության</w:t>
      </w:r>
      <w:r w:rsidR="00CA1B43" w:rsidRPr="00AB7FB9">
        <w:rPr>
          <w:rFonts w:ascii="Sylfaen" w:hAnsi="Sylfaen"/>
          <w:sz w:val="24"/>
          <w:lang w:val="fr-FR"/>
        </w:rPr>
        <w:t xml:space="preserve"> </w:t>
      </w:r>
      <w:r w:rsidR="000472F6" w:rsidRPr="00855FDC">
        <w:rPr>
          <w:rFonts w:ascii="Sylfaen" w:hAnsi="Sylfaen"/>
          <w:sz w:val="24"/>
        </w:rPr>
        <w:t>զրպարտություն</w:t>
      </w:r>
      <w:r w:rsidR="000472F6" w:rsidRPr="00AB7FB9">
        <w:rPr>
          <w:rFonts w:ascii="Sylfaen" w:hAnsi="Sylfaen"/>
          <w:sz w:val="24"/>
          <w:lang w:val="fr-FR"/>
        </w:rPr>
        <w:t xml:space="preserve"> </w:t>
      </w:r>
      <w:r w:rsidR="000472F6" w:rsidRPr="00855FDC">
        <w:rPr>
          <w:rFonts w:ascii="Sylfaen" w:hAnsi="Sylfaen"/>
          <w:sz w:val="24"/>
        </w:rPr>
        <w:t>լինելը</w:t>
      </w:r>
      <w:r w:rsidR="000472F6" w:rsidRPr="00AB7FB9">
        <w:rPr>
          <w:rFonts w:ascii="Sylfaen" w:hAnsi="Sylfaen"/>
          <w:sz w:val="24"/>
          <w:lang w:val="fr-FR"/>
        </w:rPr>
        <w:t xml:space="preserve">: </w:t>
      </w:r>
      <w:r w:rsidR="00CA1B43" w:rsidRPr="00855FDC">
        <w:rPr>
          <w:rFonts w:ascii="Sylfaen" w:hAnsi="Sylfaen"/>
          <w:sz w:val="24"/>
        </w:rPr>
        <w:t>Նրանք</w:t>
      </w:r>
      <w:r w:rsidR="00CA1B43" w:rsidRPr="00AB7FB9">
        <w:rPr>
          <w:rFonts w:ascii="Sylfaen" w:hAnsi="Sylfaen"/>
          <w:sz w:val="24"/>
          <w:lang w:val="fr-FR"/>
        </w:rPr>
        <w:t xml:space="preserve"> </w:t>
      </w:r>
      <w:r w:rsidR="000472F6" w:rsidRPr="00855FDC">
        <w:rPr>
          <w:rFonts w:ascii="Sylfaen" w:hAnsi="Sylfaen"/>
          <w:sz w:val="24"/>
        </w:rPr>
        <w:t>դիմել</w:t>
      </w:r>
      <w:r w:rsidR="000472F6" w:rsidRPr="00AB7FB9">
        <w:rPr>
          <w:rFonts w:ascii="Sylfaen" w:hAnsi="Sylfaen"/>
          <w:sz w:val="24"/>
          <w:lang w:val="fr-FR"/>
        </w:rPr>
        <w:t xml:space="preserve"> </w:t>
      </w:r>
      <w:r w:rsidR="000472F6" w:rsidRPr="00855FDC">
        <w:rPr>
          <w:rFonts w:ascii="Sylfaen" w:hAnsi="Sylfaen"/>
          <w:sz w:val="24"/>
        </w:rPr>
        <w:t>է</w:t>
      </w:r>
      <w:r w:rsidR="00CA1B43" w:rsidRPr="00855FDC">
        <w:rPr>
          <w:rFonts w:ascii="Sylfaen" w:hAnsi="Sylfaen"/>
          <w:sz w:val="24"/>
        </w:rPr>
        <w:t>ին</w:t>
      </w:r>
      <w:r w:rsidR="00CA1B43" w:rsidRPr="00AB7FB9">
        <w:rPr>
          <w:rFonts w:ascii="Sylfaen" w:hAnsi="Sylfaen"/>
          <w:sz w:val="24"/>
          <w:lang w:val="fr-FR"/>
        </w:rPr>
        <w:t xml:space="preserve"> </w:t>
      </w:r>
      <w:r w:rsidR="00CA1B43" w:rsidRPr="00855FDC">
        <w:rPr>
          <w:rFonts w:ascii="Sylfaen" w:hAnsi="Sylfaen"/>
          <w:sz w:val="24"/>
        </w:rPr>
        <w:t>իրավաբանական</w:t>
      </w:r>
      <w:r w:rsidR="00CA1B43" w:rsidRPr="00AB7FB9">
        <w:rPr>
          <w:rFonts w:ascii="Sylfaen" w:hAnsi="Sylfaen"/>
          <w:sz w:val="24"/>
          <w:lang w:val="fr-FR"/>
        </w:rPr>
        <w:t xml:space="preserve"> </w:t>
      </w:r>
      <w:r w:rsidR="000472F6" w:rsidRPr="00855FDC">
        <w:rPr>
          <w:rFonts w:ascii="Sylfaen" w:hAnsi="Sylfaen"/>
          <w:sz w:val="24"/>
        </w:rPr>
        <w:t>օգնություն</w:t>
      </w:r>
      <w:r w:rsidR="000472F6" w:rsidRPr="00AB7FB9">
        <w:rPr>
          <w:rFonts w:ascii="Sylfaen" w:hAnsi="Sylfaen"/>
          <w:sz w:val="24"/>
          <w:lang w:val="fr-FR"/>
        </w:rPr>
        <w:t xml:space="preserve"> </w:t>
      </w:r>
      <w:r w:rsidR="000472F6" w:rsidRPr="00855FDC">
        <w:rPr>
          <w:rFonts w:ascii="Sylfaen" w:hAnsi="Sylfaen"/>
          <w:sz w:val="24"/>
        </w:rPr>
        <w:t>ստանալու</w:t>
      </w:r>
      <w:r w:rsidR="000472F6" w:rsidRPr="00AB7FB9">
        <w:rPr>
          <w:rFonts w:ascii="Sylfaen" w:hAnsi="Sylfaen"/>
          <w:sz w:val="24"/>
          <w:lang w:val="fr-FR"/>
        </w:rPr>
        <w:t xml:space="preserve"> </w:t>
      </w:r>
      <w:r w:rsidR="000472F6" w:rsidRPr="00855FDC">
        <w:rPr>
          <w:rFonts w:ascii="Sylfaen" w:hAnsi="Sylfaen"/>
          <w:sz w:val="24"/>
        </w:rPr>
        <w:t>համար</w:t>
      </w:r>
      <w:r w:rsidR="000472F6" w:rsidRPr="00AB7FB9">
        <w:rPr>
          <w:rFonts w:ascii="Sylfaen" w:hAnsi="Sylfaen"/>
          <w:sz w:val="24"/>
          <w:lang w:val="fr-FR"/>
        </w:rPr>
        <w:t xml:space="preserve">, </w:t>
      </w:r>
      <w:r w:rsidR="000472F6" w:rsidRPr="00855FDC">
        <w:rPr>
          <w:rFonts w:ascii="Sylfaen" w:hAnsi="Sylfaen"/>
          <w:sz w:val="24"/>
        </w:rPr>
        <w:t>սակայն</w:t>
      </w:r>
      <w:r w:rsidR="000472F6" w:rsidRPr="00AB7FB9">
        <w:rPr>
          <w:rFonts w:ascii="Sylfaen" w:hAnsi="Sylfaen"/>
          <w:sz w:val="24"/>
          <w:lang w:val="fr-FR"/>
        </w:rPr>
        <w:t xml:space="preserve"> </w:t>
      </w:r>
      <w:r w:rsidR="000472F6" w:rsidRPr="00855FDC">
        <w:rPr>
          <w:rFonts w:ascii="Sylfaen" w:hAnsi="Sylfaen"/>
          <w:sz w:val="24"/>
        </w:rPr>
        <w:t>Միացյալ</w:t>
      </w:r>
      <w:r w:rsidR="000472F6" w:rsidRPr="00AB7FB9">
        <w:rPr>
          <w:rFonts w:ascii="Sylfaen" w:hAnsi="Sylfaen"/>
          <w:sz w:val="24"/>
          <w:lang w:val="fr-FR"/>
        </w:rPr>
        <w:t xml:space="preserve"> </w:t>
      </w:r>
      <w:r w:rsidR="000472F6" w:rsidRPr="00855FDC">
        <w:rPr>
          <w:rFonts w:ascii="Sylfaen" w:hAnsi="Sylfaen"/>
          <w:sz w:val="24"/>
        </w:rPr>
        <w:t>Թագավորությունում</w:t>
      </w:r>
      <w:r w:rsidR="000472F6" w:rsidRPr="00AB7FB9">
        <w:rPr>
          <w:rFonts w:ascii="Sylfaen" w:hAnsi="Sylfaen"/>
          <w:sz w:val="24"/>
          <w:lang w:val="fr-FR"/>
        </w:rPr>
        <w:t xml:space="preserve"> </w:t>
      </w:r>
      <w:r w:rsidR="000472F6" w:rsidRPr="00855FDC">
        <w:rPr>
          <w:rFonts w:ascii="Sylfaen" w:hAnsi="Sylfaen"/>
          <w:sz w:val="24"/>
        </w:rPr>
        <w:t>զրպարտության</w:t>
      </w:r>
      <w:r w:rsidR="000472F6" w:rsidRPr="00AB7FB9">
        <w:rPr>
          <w:rFonts w:ascii="Sylfaen" w:hAnsi="Sylfaen"/>
          <w:sz w:val="24"/>
          <w:lang w:val="fr-FR"/>
        </w:rPr>
        <w:t xml:space="preserve"> </w:t>
      </w:r>
      <w:r w:rsidR="000472F6" w:rsidRPr="00855FDC">
        <w:rPr>
          <w:rFonts w:ascii="Sylfaen" w:hAnsi="Sylfaen"/>
          <w:sz w:val="24"/>
        </w:rPr>
        <w:t>գործերով</w:t>
      </w:r>
      <w:r w:rsidR="000472F6" w:rsidRPr="00AB7FB9">
        <w:rPr>
          <w:rFonts w:ascii="Sylfaen" w:hAnsi="Sylfaen"/>
          <w:sz w:val="24"/>
          <w:lang w:val="fr-FR"/>
        </w:rPr>
        <w:t xml:space="preserve"> </w:t>
      </w:r>
      <w:r w:rsidR="000472F6" w:rsidRPr="00855FDC">
        <w:rPr>
          <w:rFonts w:ascii="Sylfaen" w:hAnsi="Sylfaen"/>
          <w:sz w:val="24"/>
        </w:rPr>
        <w:t>այ</w:t>
      </w:r>
      <w:r w:rsidR="002C06DC" w:rsidRPr="00855FDC">
        <w:rPr>
          <w:rFonts w:ascii="Sylfaen" w:hAnsi="Sylfaen"/>
          <w:sz w:val="24"/>
        </w:rPr>
        <w:t>դ</w:t>
      </w:r>
      <w:r w:rsidR="000472F6" w:rsidRPr="00855FDC">
        <w:rPr>
          <w:rFonts w:ascii="Sylfaen" w:hAnsi="Sylfaen"/>
          <w:sz w:val="24"/>
        </w:rPr>
        <w:t>պիսի</w:t>
      </w:r>
      <w:r w:rsidR="000472F6" w:rsidRPr="00AB7FB9">
        <w:rPr>
          <w:rFonts w:ascii="Sylfaen" w:hAnsi="Sylfaen"/>
          <w:sz w:val="24"/>
          <w:lang w:val="fr-FR"/>
        </w:rPr>
        <w:t xml:space="preserve"> </w:t>
      </w:r>
      <w:r w:rsidR="000472F6" w:rsidRPr="00855FDC">
        <w:rPr>
          <w:rFonts w:ascii="Sylfaen" w:hAnsi="Sylfaen"/>
          <w:sz w:val="24"/>
        </w:rPr>
        <w:t>օգնություն</w:t>
      </w:r>
      <w:r w:rsidR="000472F6" w:rsidRPr="00AB7FB9">
        <w:rPr>
          <w:rFonts w:ascii="Sylfaen" w:hAnsi="Sylfaen"/>
          <w:sz w:val="24"/>
          <w:lang w:val="fr-FR"/>
        </w:rPr>
        <w:t xml:space="preserve"> </w:t>
      </w:r>
      <w:r w:rsidR="000472F6" w:rsidRPr="00855FDC">
        <w:rPr>
          <w:rFonts w:ascii="Sylfaen" w:hAnsi="Sylfaen"/>
          <w:sz w:val="24"/>
        </w:rPr>
        <w:t>չի</w:t>
      </w:r>
      <w:r w:rsidR="000472F6" w:rsidRPr="00AB7FB9">
        <w:rPr>
          <w:rFonts w:ascii="Sylfaen" w:hAnsi="Sylfaen"/>
          <w:sz w:val="24"/>
          <w:lang w:val="fr-FR"/>
        </w:rPr>
        <w:t xml:space="preserve"> </w:t>
      </w:r>
      <w:r w:rsidR="000472F6" w:rsidRPr="00855FDC">
        <w:rPr>
          <w:rFonts w:ascii="Sylfaen" w:hAnsi="Sylfaen"/>
          <w:sz w:val="24"/>
        </w:rPr>
        <w:t>տրամադրվում</w:t>
      </w:r>
      <w:r w:rsidR="000472F6" w:rsidRPr="00AB7FB9">
        <w:rPr>
          <w:rFonts w:ascii="Sylfaen" w:hAnsi="Sylfaen"/>
          <w:sz w:val="24"/>
          <w:lang w:val="fr-FR"/>
        </w:rPr>
        <w:t xml:space="preserve">: </w:t>
      </w:r>
      <w:r w:rsidR="000472F6" w:rsidRPr="00855FDC">
        <w:rPr>
          <w:rFonts w:ascii="Sylfaen" w:hAnsi="Sylfaen"/>
          <w:sz w:val="24"/>
        </w:rPr>
        <w:t>Ողջ</w:t>
      </w:r>
      <w:r w:rsidR="000472F6" w:rsidRPr="00AB7FB9">
        <w:rPr>
          <w:rFonts w:ascii="Sylfaen" w:hAnsi="Sylfaen"/>
          <w:sz w:val="24"/>
          <w:lang w:val="fr-FR"/>
        </w:rPr>
        <w:t xml:space="preserve"> </w:t>
      </w:r>
      <w:r w:rsidR="000472F6" w:rsidRPr="00855FDC">
        <w:rPr>
          <w:rFonts w:ascii="Sylfaen" w:hAnsi="Sylfaen"/>
          <w:sz w:val="24"/>
        </w:rPr>
        <w:t>դատավարության</w:t>
      </w:r>
      <w:r w:rsidR="000472F6" w:rsidRPr="00AB7FB9">
        <w:rPr>
          <w:rFonts w:ascii="Sylfaen" w:hAnsi="Sylfaen"/>
          <w:sz w:val="24"/>
          <w:lang w:val="fr-FR"/>
        </w:rPr>
        <w:t xml:space="preserve"> </w:t>
      </w:r>
      <w:r w:rsidR="000472F6" w:rsidRPr="00855FDC">
        <w:rPr>
          <w:rFonts w:ascii="Sylfaen" w:hAnsi="Sylfaen"/>
          <w:sz w:val="24"/>
        </w:rPr>
        <w:t>ընթացքում</w:t>
      </w:r>
      <w:r w:rsidR="000472F6" w:rsidRPr="00AB7FB9">
        <w:rPr>
          <w:rFonts w:ascii="Sylfaen" w:hAnsi="Sylfaen"/>
          <w:sz w:val="24"/>
          <w:lang w:val="fr-FR"/>
        </w:rPr>
        <w:t xml:space="preserve"> </w:t>
      </w:r>
      <w:r w:rsidR="000472F6" w:rsidRPr="00855FDC">
        <w:rPr>
          <w:rFonts w:ascii="Sylfaen" w:hAnsi="Sylfaen"/>
          <w:sz w:val="24"/>
        </w:rPr>
        <w:t>կազմակերպությունն</w:t>
      </w:r>
      <w:r w:rsidR="000472F6" w:rsidRPr="00AB7FB9">
        <w:rPr>
          <w:rFonts w:ascii="Sylfaen" w:hAnsi="Sylfaen"/>
          <w:sz w:val="24"/>
          <w:lang w:val="fr-FR"/>
        </w:rPr>
        <w:t xml:space="preserve"> </w:t>
      </w:r>
      <w:r w:rsidR="000472F6" w:rsidRPr="00855FDC">
        <w:rPr>
          <w:rFonts w:ascii="Sylfaen" w:hAnsi="Sylfaen"/>
          <w:sz w:val="24"/>
        </w:rPr>
        <w:t>ինքն</w:t>
      </w:r>
      <w:r w:rsidR="002C06DC" w:rsidRPr="00855FDC">
        <w:rPr>
          <w:rFonts w:ascii="Sylfaen" w:hAnsi="Sylfaen"/>
          <w:sz w:val="24"/>
        </w:rPr>
        <w:t>ուրույն</w:t>
      </w:r>
      <w:r w:rsidR="000472F6" w:rsidRPr="00AB7FB9">
        <w:rPr>
          <w:rFonts w:ascii="Sylfaen" w:hAnsi="Sylfaen"/>
          <w:sz w:val="24"/>
          <w:lang w:val="fr-FR"/>
        </w:rPr>
        <w:t xml:space="preserve"> </w:t>
      </w:r>
      <w:r w:rsidR="000472F6" w:rsidRPr="00855FDC">
        <w:rPr>
          <w:rFonts w:ascii="Sylfaen" w:hAnsi="Sylfaen"/>
          <w:sz w:val="24"/>
        </w:rPr>
        <w:t>է</w:t>
      </w:r>
      <w:r w:rsidR="000472F6" w:rsidRPr="00AB7FB9">
        <w:rPr>
          <w:rFonts w:ascii="Sylfaen" w:hAnsi="Sylfaen"/>
          <w:sz w:val="24"/>
          <w:lang w:val="fr-FR"/>
        </w:rPr>
        <w:t xml:space="preserve"> </w:t>
      </w:r>
      <w:r w:rsidR="000472F6" w:rsidRPr="00855FDC">
        <w:rPr>
          <w:rFonts w:ascii="Sylfaen" w:hAnsi="Sylfaen"/>
          <w:sz w:val="24"/>
        </w:rPr>
        <w:t>պաշտպանել</w:t>
      </w:r>
      <w:r w:rsidR="000472F6" w:rsidRPr="00AB7FB9">
        <w:rPr>
          <w:rFonts w:ascii="Sylfaen" w:hAnsi="Sylfaen"/>
          <w:sz w:val="24"/>
          <w:lang w:val="fr-FR"/>
        </w:rPr>
        <w:t xml:space="preserve"> </w:t>
      </w:r>
      <w:r w:rsidR="000472F6" w:rsidRPr="00855FDC">
        <w:rPr>
          <w:rFonts w:ascii="Sylfaen" w:hAnsi="Sylfaen"/>
          <w:sz w:val="24"/>
        </w:rPr>
        <w:t>իր</w:t>
      </w:r>
      <w:r w:rsidR="000472F6" w:rsidRPr="00AB7FB9">
        <w:rPr>
          <w:rFonts w:ascii="Sylfaen" w:hAnsi="Sylfaen"/>
          <w:sz w:val="24"/>
          <w:lang w:val="fr-FR"/>
        </w:rPr>
        <w:t xml:space="preserve"> </w:t>
      </w:r>
      <w:r w:rsidR="000472F6" w:rsidRPr="00855FDC">
        <w:rPr>
          <w:rFonts w:ascii="Sylfaen" w:hAnsi="Sylfaen"/>
          <w:sz w:val="24"/>
        </w:rPr>
        <w:t>շահերը</w:t>
      </w:r>
      <w:r w:rsidR="000472F6" w:rsidRPr="00AB7FB9">
        <w:rPr>
          <w:rFonts w:ascii="Sylfaen" w:hAnsi="Sylfaen"/>
          <w:sz w:val="24"/>
          <w:lang w:val="fr-FR"/>
        </w:rPr>
        <w:t xml:space="preserve">, </w:t>
      </w:r>
      <w:r w:rsidR="000472F6" w:rsidRPr="00855FDC">
        <w:rPr>
          <w:rFonts w:ascii="Sylfaen" w:hAnsi="Sylfaen"/>
          <w:sz w:val="24"/>
        </w:rPr>
        <w:t>թեև</w:t>
      </w:r>
      <w:r w:rsidR="00CA1B43" w:rsidRPr="00AB7FB9">
        <w:rPr>
          <w:rFonts w:ascii="Sylfaen" w:hAnsi="Sylfaen"/>
          <w:sz w:val="24"/>
          <w:lang w:val="fr-FR"/>
        </w:rPr>
        <w:t xml:space="preserve"> </w:t>
      </w:r>
      <w:r w:rsidR="002C06DC" w:rsidRPr="00855FDC">
        <w:rPr>
          <w:rFonts w:ascii="Sylfaen" w:hAnsi="Sylfaen"/>
          <w:sz w:val="24"/>
        </w:rPr>
        <w:t>հ</w:t>
      </w:r>
      <w:r w:rsidR="00CA1B43" w:rsidRPr="00855FDC">
        <w:rPr>
          <w:rFonts w:ascii="Sylfaen" w:hAnsi="Sylfaen"/>
          <w:sz w:val="24"/>
        </w:rPr>
        <w:t>ա</w:t>
      </w:r>
      <w:r w:rsidR="002C06DC" w:rsidRPr="00855FDC">
        <w:rPr>
          <w:rFonts w:ascii="Sylfaen" w:hAnsi="Sylfaen"/>
          <w:sz w:val="24"/>
        </w:rPr>
        <w:t>րկ</w:t>
      </w:r>
      <w:r w:rsidR="002C06DC" w:rsidRPr="00AB7FB9">
        <w:rPr>
          <w:rFonts w:ascii="Sylfaen" w:hAnsi="Sylfaen"/>
          <w:sz w:val="24"/>
          <w:lang w:val="fr-FR"/>
        </w:rPr>
        <w:t xml:space="preserve"> </w:t>
      </w:r>
      <w:r w:rsidR="002C06DC" w:rsidRPr="00855FDC">
        <w:rPr>
          <w:rFonts w:ascii="Sylfaen" w:hAnsi="Sylfaen"/>
          <w:sz w:val="24"/>
        </w:rPr>
        <w:t>է</w:t>
      </w:r>
      <w:r w:rsidR="002C06DC" w:rsidRPr="00AB7FB9">
        <w:rPr>
          <w:rFonts w:ascii="Sylfaen" w:hAnsi="Sylfaen"/>
          <w:sz w:val="24"/>
          <w:lang w:val="fr-FR"/>
        </w:rPr>
        <w:t xml:space="preserve"> </w:t>
      </w:r>
      <w:r w:rsidR="002C06DC" w:rsidRPr="00855FDC">
        <w:rPr>
          <w:rFonts w:ascii="Sylfaen" w:hAnsi="Sylfaen"/>
          <w:sz w:val="24"/>
        </w:rPr>
        <w:t>նշել</w:t>
      </w:r>
      <w:r w:rsidR="002C06DC" w:rsidRPr="00AB7FB9">
        <w:rPr>
          <w:rFonts w:ascii="Sylfaen" w:hAnsi="Sylfaen"/>
          <w:sz w:val="24"/>
          <w:lang w:val="fr-FR"/>
        </w:rPr>
        <w:t xml:space="preserve">, </w:t>
      </w:r>
      <w:r w:rsidR="002C06DC" w:rsidRPr="00855FDC">
        <w:rPr>
          <w:rFonts w:ascii="Sylfaen" w:hAnsi="Sylfaen"/>
          <w:sz w:val="24"/>
        </w:rPr>
        <w:t>որ</w:t>
      </w:r>
      <w:r w:rsidR="000472F6" w:rsidRPr="00AB7FB9">
        <w:rPr>
          <w:rFonts w:ascii="Sylfaen" w:hAnsi="Sylfaen"/>
          <w:sz w:val="24"/>
          <w:lang w:val="fr-FR"/>
        </w:rPr>
        <w:t xml:space="preserve"> </w:t>
      </w:r>
      <w:r w:rsidR="000472F6" w:rsidRPr="00855FDC">
        <w:rPr>
          <w:rFonts w:ascii="Sylfaen" w:hAnsi="Sylfaen"/>
          <w:sz w:val="24"/>
        </w:rPr>
        <w:t>վերջիններս</w:t>
      </w:r>
      <w:r w:rsidR="000472F6" w:rsidRPr="00AB7FB9">
        <w:rPr>
          <w:rFonts w:ascii="Sylfaen" w:hAnsi="Sylfaen"/>
          <w:sz w:val="24"/>
          <w:lang w:val="fr-FR"/>
        </w:rPr>
        <w:t xml:space="preserve"> </w:t>
      </w:r>
      <w:r w:rsidR="000472F6" w:rsidRPr="00855FDC">
        <w:rPr>
          <w:rFonts w:ascii="Sylfaen" w:hAnsi="Sylfaen"/>
          <w:sz w:val="24"/>
        </w:rPr>
        <w:t>իրավաբաններից</w:t>
      </w:r>
      <w:r w:rsidR="000472F6" w:rsidRPr="00AB7FB9">
        <w:rPr>
          <w:rFonts w:ascii="Sylfaen" w:hAnsi="Sylfaen"/>
          <w:sz w:val="24"/>
          <w:lang w:val="fr-FR"/>
        </w:rPr>
        <w:t xml:space="preserve"> </w:t>
      </w:r>
      <w:r w:rsidR="000472F6" w:rsidRPr="00855FDC">
        <w:rPr>
          <w:rFonts w:ascii="Sylfaen" w:hAnsi="Sylfaen"/>
          <w:sz w:val="24"/>
        </w:rPr>
        <w:t>և</w:t>
      </w:r>
      <w:r w:rsidR="000472F6" w:rsidRPr="00AB7FB9">
        <w:rPr>
          <w:rFonts w:ascii="Sylfaen" w:hAnsi="Sylfaen"/>
          <w:sz w:val="24"/>
          <w:lang w:val="fr-FR"/>
        </w:rPr>
        <w:t xml:space="preserve"> </w:t>
      </w:r>
      <w:r w:rsidR="000472F6" w:rsidRPr="00855FDC">
        <w:rPr>
          <w:rFonts w:ascii="Sylfaen" w:hAnsi="Sylfaen"/>
          <w:sz w:val="24"/>
        </w:rPr>
        <w:t>փաստաբաններից</w:t>
      </w:r>
      <w:r w:rsidR="00CA1B43" w:rsidRPr="00AB7FB9">
        <w:rPr>
          <w:rFonts w:ascii="Sylfaen" w:hAnsi="Sylfaen"/>
          <w:sz w:val="24"/>
          <w:lang w:val="fr-FR"/>
        </w:rPr>
        <w:t xml:space="preserve"> </w:t>
      </w:r>
      <w:r w:rsidR="000472F6" w:rsidRPr="00855FDC">
        <w:rPr>
          <w:rFonts w:ascii="Sylfaen" w:hAnsi="Sylfaen"/>
          <w:sz w:val="24"/>
        </w:rPr>
        <w:t>որոշակի</w:t>
      </w:r>
      <w:r w:rsidR="00CA1B43" w:rsidRPr="00AB7FB9">
        <w:rPr>
          <w:rFonts w:ascii="Sylfaen" w:hAnsi="Sylfaen"/>
          <w:sz w:val="24"/>
          <w:lang w:val="fr-FR"/>
        </w:rPr>
        <w:t xml:space="preserve"> </w:t>
      </w:r>
      <w:r w:rsidR="000472F6" w:rsidRPr="00855FDC">
        <w:rPr>
          <w:rFonts w:ascii="Sylfaen" w:hAnsi="Sylfaen"/>
          <w:sz w:val="24"/>
        </w:rPr>
        <w:t>անվճար</w:t>
      </w:r>
      <w:r w:rsidR="000472F6" w:rsidRPr="00AB7FB9">
        <w:rPr>
          <w:rFonts w:ascii="Sylfaen" w:hAnsi="Sylfaen"/>
          <w:sz w:val="24"/>
          <w:lang w:val="fr-FR"/>
        </w:rPr>
        <w:t xml:space="preserve"> </w:t>
      </w:r>
      <w:r w:rsidR="000472F6" w:rsidRPr="00855FDC">
        <w:rPr>
          <w:rFonts w:ascii="Sylfaen" w:hAnsi="Sylfaen"/>
          <w:sz w:val="24"/>
        </w:rPr>
        <w:t>խորհրդատվություն</w:t>
      </w:r>
      <w:r w:rsidR="000472F6" w:rsidRPr="00AB7FB9">
        <w:rPr>
          <w:rFonts w:ascii="Sylfaen" w:hAnsi="Sylfaen"/>
          <w:sz w:val="24"/>
          <w:lang w:val="fr-FR"/>
        </w:rPr>
        <w:t xml:space="preserve"> </w:t>
      </w:r>
      <w:r w:rsidR="002C06DC" w:rsidRPr="00855FDC">
        <w:rPr>
          <w:rFonts w:ascii="Sylfaen" w:hAnsi="Sylfaen"/>
          <w:sz w:val="24"/>
        </w:rPr>
        <w:t>ստացել</w:t>
      </w:r>
      <w:r w:rsidR="002C06DC" w:rsidRPr="00AB7FB9">
        <w:rPr>
          <w:rFonts w:ascii="Sylfaen" w:hAnsi="Sylfaen"/>
          <w:sz w:val="24"/>
          <w:lang w:val="fr-FR"/>
        </w:rPr>
        <w:t xml:space="preserve"> </w:t>
      </w:r>
      <w:r w:rsidR="000472F6" w:rsidRPr="00855FDC">
        <w:rPr>
          <w:rFonts w:ascii="Sylfaen" w:hAnsi="Sylfaen"/>
          <w:sz w:val="24"/>
        </w:rPr>
        <w:t>են</w:t>
      </w:r>
      <w:r w:rsidR="000472F6" w:rsidRPr="00AB7FB9">
        <w:rPr>
          <w:rFonts w:ascii="Sylfaen" w:hAnsi="Sylfaen"/>
          <w:sz w:val="24"/>
          <w:lang w:val="fr-FR"/>
        </w:rPr>
        <w:t>:</w:t>
      </w:r>
      <w:r w:rsidR="00C16138" w:rsidRPr="00AB7FB9">
        <w:rPr>
          <w:rFonts w:ascii="Sylfaen" w:hAnsi="Sylfaen"/>
          <w:sz w:val="24"/>
          <w:lang w:val="fr-FR"/>
        </w:rPr>
        <w:t xml:space="preserve"> (313</w:t>
      </w:r>
      <w:r w:rsidR="002C06DC" w:rsidRPr="00AB7FB9">
        <w:rPr>
          <w:rFonts w:ascii="Sylfaen" w:hAnsi="Sylfaen"/>
          <w:sz w:val="24"/>
          <w:lang w:val="fr-FR"/>
        </w:rPr>
        <w:t xml:space="preserve"> </w:t>
      </w:r>
      <w:r w:rsidR="00C16138" w:rsidRPr="00855FDC">
        <w:rPr>
          <w:rFonts w:ascii="Sylfaen" w:hAnsi="Sylfaen"/>
          <w:sz w:val="24"/>
        </w:rPr>
        <w:t>դատական</w:t>
      </w:r>
      <w:r w:rsidR="00C16138" w:rsidRPr="00AB7FB9">
        <w:rPr>
          <w:rFonts w:ascii="Sylfaen" w:hAnsi="Sylfaen"/>
          <w:sz w:val="24"/>
          <w:lang w:val="fr-FR"/>
        </w:rPr>
        <w:t xml:space="preserve"> </w:t>
      </w:r>
      <w:r w:rsidR="00C16138" w:rsidRPr="00855FDC">
        <w:rPr>
          <w:rFonts w:ascii="Sylfaen" w:hAnsi="Sylfaen"/>
          <w:sz w:val="24"/>
        </w:rPr>
        <w:t>նիստերի</w:t>
      </w:r>
      <w:r w:rsidR="00C16138" w:rsidRPr="00AB7FB9">
        <w:rPr>
          <w:rFonts w:ascii="Sylfaen" w:hAnsi="Sylfaen"/>
          <w:sz w:val="24"/>
          <w:lang w:val="fr-FR"/>
        </w:rPr>
        <w:t xml:space="preserve"> </w:t>
      </w:r>
      <w:r w:rsidR="002C06DC" w:rsidRPr="00855FDC">
        <w:rPr>
          <w:rFonts w:ascii="Sylfaen" w:hAnsi="Sylfaen"/>
          <w:sz w:val="24"/>
        </w:rPr>
        <w:t>ընդհանուր</w:t>
      </w:r>
      <w:r w:rsidR="002C06DC" w:rsidRPr="00AB7FB9">
        <w:rPr>
          <w:rFonts w:ascii="Sylfaen" w:hAnsi="Sylfaen"/>
          <w:sz w:val="24"/>
          <w:lang w:val="fr-FR"/>
        </w:rPr>
        <w:t xml:space="preserve"> </w:t>
      </w:r>
      <w:r w:rsidR="00C16138" w:rsidRPr="00855FDC">
        <w:rPr>
          <w:rFonts w:ascii="Sylfaen" w:hAnsi="Sylfaen"/>
          <w:sz w:val="24"/>
        </w:rPr>
        <w:t>քանակով</w:t>
      </w:r>
      <w:r w:rsidR="00C16138" w:rsidRPr="00AB7FB9">
        <w:rPr>
          <w:rFonts w:ascii="Sylfaen" w:hAnsi="Sylfaen"/>
          <w:sz w:val="24"/>
          <w:lang w:val="fr-FR"/>
        </w:rPr>
        <w:t xml:space="preserve"> </w:t>
      </w:r>
      <w:r w:rsidR="00C16138" w:rsidRPr="00855FDC">
        <w:rPr>
          <w:rFonts w:ascii="Sylfaen" w:hAnsi="Sylfaen"/>
          <w:sz w:val="24"/>
        </w:rPr>
        <w:t>այս</w:t>
      </w:r>
      <w:r w:rsidR="00C16138" w:rsidRPr="00AB7FB9">
        <w:rPr>
          <w:rFonts w:ascii="Sylfaen" w:hAnsi="Sylfaen"/>
          <w:sz w:val="24"/>
          <w:lang w:val="fr-FR"/>
        </w:rPr>
        <w:t xml:space="preserve"> </w:t>
      </w:r>
      <w:r w:rsidR="00C16138" w:rsidRPr="00855FDC">
        <w:rPr>
          <w:rFonts w:ascii="Sylfaen" w:hAnsi="Sylfaen"/>
          <w:sz w:val="24"/>
        </w:rPr>
        <w:t>դատավարությունը</w:t>
      </w:r>
      <w:r w:rsidR="00C16138" w:rsidRPr="00AB7FB9">
        <w:rPr>
          <w:rFonts w:ascii="Sylfaen" w:hAnsi="Sylfaen"/>
          <w:sz w:val="24"/>
          <w:lang w:val="fr-FR"/>
        </w:rPr>
        <w:t xml:space="preserve"> </w:t>
      </w:r>
      <w:r w:rsidR="00CA1B43" w:rsidRPr="00855FDC">
        <w:rPr>
          <w:rFonts w:ascii="Sylfaen" w:hAnsi="Sylfaen"/>
          <w:sz w:val="24"/>
        </w:rPr>
        <w:t>անգլիական</w:t>
      </w:r>
      <w:r w:rsidR="00C16138" w:rsidRPr="00AB7FB9">
        <w:rPr>
          <w:rFonts w:ascii="Sylfaen" w:hAnsi="Sylfaen"/>
          <w:sz w:val="24"/>
          <w:lang w:val="fr-FR"/>
        </w:rPr>
        <w:t xml:space="preserve"> </w:t>
      </w:r>
      <w:r w:rsidR="00C16138" w:rsidRPr="00855FDC">
        <w:rPr>
          <w:rFonts w:ascii="Sylfaen" w:hAnsi="Sylfaen"/>
          <w:sz w:val="24"/>
        </w:rPr>
        <w:t>իրավունքի</w:t>
      </w:r>
      <w:r w:rsidR="00C16138" w:rsidRPr="00AB7FB9">
        <w:rPr>
          <w:rFonts w:ascii="Sylfaen" w:hAnsi="Sylfaen"/>
          <w:sz w:val="24"/>
          <w:lang w:val="fr-FR"/>
        </w:rPr>
        <w:t xml:space="preserve"> </w:t>
      </w:r>
      <w:r w:rsidR="00C16138" w:rsidRPr="00855FDC">
        <w:rPr>
          <w:rFonts w:ascii="Sylfaen" w:hAnsi="Sylfaen"/>
          <w:sz w:val="24"/>
        </w:rPr>
        <w:t>պատմության</w:t>
      </w:r>
      <w:r w:rsidR="00C16138" w:rsidRPr="00AB7FB9">
        <w:rPr>
          <w:rFonts w:ascii="Sylfaen" w:hAnsi="Sylfaen"/>
          <w:sz w:val="24"/>
          <w:lang w:val="fr-FR"/>
        </w:rPr>
        <w:t xml:space="preserve"> </w:t>
      </w:r>
      <w:r w:rsidR="00C16138" w:rsidRPr="00855FDC">
        <w:rPr>
          <w:rFonts w:ascii="Sylfaen" w:hAnsi="Sylfaen"/>
          <w:sz w:val="24"/>
        </w:rPr>
        <w:t>մեջ</w:t>
      </w:r>
      <w:r w:rsidR="00C16138" w:rsidRPr="00AB7FB9">
        <w:rPr>
          <w:rFonts w:ascii="Sylfaen" w:hAnsi="Sylfaen"/>
          <w:sz w:val="24"/>
          <w:lang w:val="fr-FR"/>
        </w:rPr>
        <w:t xml:space="preserve"> </w:t>
      </w:r>
      <w:r w:rsidR="00C16138" w:rsidRPr="00855FDC">
        <w:rPr>
          <w:rFonts w:ascii="Sylfaen" w:hAnsi="Sylfaen"/>
          <w:sz w:val="24"/>
        </w:rPr>
        <w:t>ամենաերկարն</w:t>
      </w:r>
      <w:r w:rsidR="00C16138" w:rsidRPr="00AB7FB9">
        <w:rPr>
          <w:rFonts w:ascii="Sylfaen" w:hAnsi="Sylfaen"/>
          <w:sz w:val="24"/>
          <w:lang w:val="fr-FR"/>
        </w:rPr>
        <w:t xml:space="preserve"> </w:t>
      </w:r>
      <w:r w:rsidR="00C16138" w:rsidRPr="00855FDC">
        <w:rPr>
          <w:rFonts w:ascii="Sylfaen" w:hAnsi="Sylfaen"/>
          <w:sz w:val="24"/>
        </w:rPr>
        <w:t>է</w:t>
      </w:r>
      <w:r w:rsidR="00C16138" w:rsidRPr="00AB7FB9">
        <w:rPr>
          <w:rFonts w:ascii="Sylfaen" w:hAnsi="Sylfaen"/>
          <w:sz w:val="24"/>
          <w:lang w:val="fr-FR"/>
        </w:rPr>
        <w:t>):</w:t>
      </w:r>
      <w:r w:rsidR="000472F6" w:rsidRPr="00AB7FB9">
        <w:rPr>
          <w:rFonts w:ascii="Sylfaen" w:hAnsi="Sylfaen"/>
          <w:sz w:val="24"/>
          <w:lang w:val="fr-FR"/>
        </w:rPr>
        <w:t xml:space="preserve"> </w:t>
      </w:r>
      <w:r w:rsidR="00FB57FD" w:rsidRPr="00855FDC">
        <w:rPr>
          <w:rFonts w:ascii="Sylfaen" w:hAnsi="Sylfaen"/>
          <w:sz w:val="24"/>
        </w:rPr>
        <w:t>Դատավարության</w:t>
      </w:r>
      <w:r w:rsidR="00FB57FD" w:rsidRPr="00AB7FB9">
        <w:rPr>
          <w:rFonts w:ascii="Sylfaen" w:hAnsi="Sylfaen"/>
          <w:sz w:val="24"/>
          <w:lang w:val="fr-FR"/>
        </w:rPr>
        <w:t xml:space="preserve"> </w:t>
      </w:r>
      <w:r w:rsidR="00FB57FD" w:rsidRPr="00855FDC">
        <w:rPr>
          <w:rFonts w:ascii="Sylfaen" w:hAnsi="Sylfaen"/>
          <w:sz w:val="24"/>
        </w:rPr>
        <w:t>փուլերից</w:t>
      </w:r>
      <w:r w:rsidR="00FB57FD" w:rsidRPr="00AB7FB9">
        <w:rPr>
          <w:rFonts w:ascii="Sylfaen" w:hAnsi="Sylfaen"/>
          <w:sz w:val="24"/>
          <w:lang w:val="fr-FR"/>
        </w:rPr>
        <w:t xml:space="preserve"> </w:t>
      </w:r>
      <w:r w:rsidR="00FB57FD" w:rsidRPr="00855FDC">
        <w:rPr>
          <w:rFonts w:ascii="Sylfaen" w:hAnsi="Sylfaen"/>
          <w:sz w:val="24"/>
        </w:rPr>
        <w:t>մեկի</w:t>
      </w:r>
      <w:r w:rsidR="00FB57FD" w:rsidRPr="00AB7FB9">
        <w:rPr>
          <w:rFonts w:ascii="Sylfaen" w:hAnsi="Sylfaen"/>
          <w:sz w:val="24"/>
          <w:lang w:val="fr-FR"/>
        </w:rPr>
        <w:t xml:space="preserve"> </w:t>
      </w:r>
      <w:r w:rsidR="00FB57FD" w:rsidRPr="00855FDC">
        <w:rPr>
          <w:rFonts w:ascii="Sylfaen" w:hAnsi="Sylfaen"/>
          <w:sz w:val="24"/>
        </w:rPr>
        <w:t>ժամանակ</w:t>
      </w:r>
      <w:r w:rsidR="00FB57FD" w:rsidRPr="00AB7FB9">
        <w:rPr>
          <w:rFonts w:ascii="Sylfaen" w:hAnsi="Sylfaen"/>
          <w:sz w:val="24"/>
          <w:lang w:val="fr-FR"/>
        </w:rPr>
        <w:t xml:space="preserve"> </w:t>
      </w:r>
      <w:r w:rsidR="00943EE5" w:rsidRPr="00855FDC">
        <w:rPr>
          <w:rFonts w:ascii="Sylfaen" w:hAnsi="Sylfaen"/>
          <w:sz w:val="24"/>
        </w:rPr>
        <w:t>դիմումատուներն</w:t>
      </w:r>
      <w:r w:rsidR="00CA1B43" w:rsidRPr="00AB7FB9">
        <w:rPr>
          <w:rFonts w:ascii="Sylfaen" w:hAnsi="Sylfaen"/>
          <w:sz w:val="24"/>
          <w:lang w:val="fr-FR"/>
        </w:rPr>
        <w:t xml:space="preserve"> </w:t>
      </w:r>
      <w:r w:rsidR="00FB57FD" w:rsidRPr="00855FDC">
        <w:rPr>
          <w:rFonts w:ascii="Sylfaen" w:hAnsi="Sylfaen"/>
          <w:sz w:val="24"/>
        </w:rPr>
        <w:t>ի</w:t>
      </w:r>
      <w:r w:rsidR="00FB57FD" w:rsidRPr="00AB7FB9">
        <w:rPr>
          <w:rFonts w:ascii="Sylfaen" w:hAnsi="Sylfaen"/>
          <w:sz w:val="24"/>
          <w:lang w:val="fr-FR"/>
        </w:rPr>
        <w:t xml:space="preserve"> </w:t>
      </w:r>
      <w:r w:rsidR="00FB57FD" w:rsidRPr="00855FDC">
        <w:rPr>
          <w:rFonts w:ascii="Sylfaen" w:hAnsi="Sylfaen"/>
          <w:sz w:val="24"/>
        </w:rPr>
        <w:t>վիճակի</w:t>
      </w:r>
      <w:r w:rsidR="00FB57FD" w:rsidRPr="00AB7FB9">
        <w:rPr>
          <w:rFonts w:ascii="Sylfaen" w:hAnsi="Sylfaen"/>
          <w:sz w:val="24"/>
          <w:lang w:val="fr-FR"/>
        </w:rPr>
        <w:t xml:space="preserve"> </w:t>
      </w:r>
      <w:r w:rsidR="00FB57FD" w:rsidRPr="00855FDC">
        <w:rPr>
          <w:rFonts w:ascii="Sylfaen" w:hAnsi="Sylfaen"/>
          <w:sz w:val="24"/>
        </w:rPr>
        <w:t>չէ</w:t>
      </w:r>
      <w:r w:rsidR="00943EE5" w:rsidRPr="00855FDC">
        <w:rPr>
          <w:rFonts w:ascii="Sylfaen" w:hAnsi="Sylfaen"/>
          <w:sz w:val="24"/>
        </w:rPr>
        <w:t>ին</w:t>
      </w:r>
      <w:r w:rsidR="00FB57FD" w:rsidRPr="00AB7FB9">
        <w:rPr>
          <w:rFonts w:ascii="Sylfaen" w:hAnsi="Sylfaen"/>
          <w:sz w:val="24"/>
          <w:lang w:val="fr-FR"/>
        </w:rPr>
        <w:t xml:space="preserve"> </w:t>
      </w:r>
      <w:r w:rsidR="00FB57FD" w:rsidRPr="00855FDC">
        <w:rPr>
          <w:rFonts w:ascii="Sylfaen" w:hAnsi="Sylfaen"/>
          <w:sz w:val="24"/>
        </w:rPr>
        <w:t>վճարելու</w:t>
      </w:r>
      <w:r w:rsidR="00FB57FD" w:rsidRPr="00AB7FB9">
        <w:rPr>
          <w:rFonts w:ascii="Sylfaen" w:hAnsi="Sylfaen"/>
          <w:sz w:val="24"/>
          <w:lang w:val="fr-FR"/>
        </w:rPr>
        <w:t xml:space="preserve"> </w:t>
      </w:r>
      <w:r w:rsidR="00FB57FD" w:rsidRPr="00855FDC">
        <w:rPr>
          <w:rFonts w:ascii="Sylfaen" w:hAnsi="Sylfaen"/>
          <w:sz w:val="24"/>
        </w:rPr>
        <w:t>նիստերի</w:t>
      </w:r>
      <w:r w:rsidR="00FB57FD" w:rsidRPr="00AB7FB9">
        <w:rPr>
          <w:rFonts w:ascii="Sylfaen" w:hAnsi="Sylfaen"/>
          <w:sz w:val="24"/>
          <w:lang w:val="fr-FR"/>
        </w:rPr>
        <w:t xml:space="preserve"> </w:t>
      </w:r>
      <w:r w:rsidR="00FB57FD" w:rsidRPr="00855FDC">
        <w:rPr>
          <w:rFonts w:ascii="Sylfaen" w:hAnsi="Sylfaen"/>
          <w:sz w:val="24"/>
        </w:rPr>
        <w:t>արձանագրությունների</w:t>
      </w:r>
      <w:r w:rsidR="00FB57FD" w:rsidRPr="00AB7FB9">
        <w:rPr>
          <w:rFonts w:ascii="Sylfaen" w:hAnsi="Sylfaen"/>
          <w:sz w:val="24"/>
          <w:lang w:val="fr-FR"/>
        </w:rPr>
        <w:t xml:space="preserve"> </w:t>
      </w:r>
      <w:r w:rsidR="00FB57FD" w:rsidRPr="00855FDC">
        <w:rPr>
          <w:rFonts w:ascii="Sylfaen" w:hAnsi="Sylfaen"/>
          <w:sz w:val="24"/>
        </w:rPr>
        <w:t>համար</w:t>
      </w:r>
      <w:r w:rsidR="00FB57FD" w:rsidRPr="00AB7FB9">
        <w:rPr>
          <w:rFonts w:ascii="Sylfaen" w:hAnsi="Sylfaen"/>
          <w:sz w:val="24"/>
          <w:lang w:val="fr-FR"/>
        </w:rPr>
        <w:t xml:space="preserve">: </w:t>
      </w:r>
      <w:r w:rsidR="00FB57FD" w:rsidRPr="00855FDC">
        <w:rPr>
          <w:rFonts w:ascii="Sylfaen" w:hAnsi="Sylfaen"/>
          <w:sz w:val="24"/>
        </w:rPr>
        <w:t>Արդյունքում</w:t>
      </w:r>
      <w:r w:rsidR="00FB57FD" w:rsidRPr="00AB7FB9">
        <w:rPr>
          <w:rFonts w:ascii="Sylfaen" w:hAnsi="Sylfaen"/>
          <w:sz w:val="24"/>
          <w:lang w:val="fr-FR"/>
        </w:rPr>
        <w:t xml:space="preserve"> </w:t>
      </w:r>
      <w:r w:rsidR="00FB57FD" w:rsidRPr="00855FDC">
        <w:rPr>
          <w:rFonts w:ascii="Sylfaen" w:hAnsi="Sylfaen"/>
          <w:sz w:val="24"/>
        </w:rPr>
        <w:t>նրանք</w:t>
      </w:r>
      <w:r w:rsidR="00FB57FD" w:rsidRPr="00AB7FB9">
        <w:rPr>
          <w:rFonts w:ascii="Sylfaen" w:hAnsi="Sylfaen"/>
          <w:sz w:val="24"/>
          <w:lang w:val="fr-FR"/>
        </w:rPr>
        <w:t xml:space="preserve"> </w:t>
      </w:r>
      <w:r w:rsidR="00FB57FD" w:rsidRPr="00855FDC">
        <w:rPr>
          <w:rFonts w:ascii="Sylfaen" w:hAnsi="Sylfaen"/>
          <w:sz w:val="24"/>
        </w:rPr>
        <w:t>այդ</w:t>
      </w:r>
      <w:r w:rsidR="00FB57FD" w:rsidRPr="00AB7FB9">
        <w:rPr>
          <w:rFonts w:ascii="Sylfaen" w:hAnsi="Sylfaen"/>
          <w:sz w:val="24"/>
          <w:lang w:val="fr-FR"/>
        </w:rPr>
        <w:t xml:space="preserve"> </w:t>
      </w:r>
      <w:r w:rsidR="00FB57FD" w:rsidRPr="00855FDC">
        <w:rPr>
          <w:rFonts w:ascii="Sylfaen" w:hAnsi="Sylfaen"/>
          <w:sz w:val="24"/>
        </w:rPr>
        <w:t>արձանագ</w:t>
      </w:r>
      <w:r w:rsidR="002C06DC" w:rsidRPr="00855FDC">
        <w:rPr>
          <w:rFonts w:ascii="Sylfaen" w:hAnsi="Sylfaen"/>
          <w:sz w:val="24"/>
        </w:rPr>
        <w:t>ր</w:t>
      </w:r>
      <w:r w:rsidR="00FB57FD" w:rsidRPr="00855FDC">
        <w:rPr>
          <w:rFonts w:ascii="Sylfaen" w:hAnsi="Sylfaen"/>
          <w:sz w:val="24"/>
        </w:rPr>
        <w:t>ո</w:t>
      </w:r>
      <w:r w:rsidR="002C06DC" w:rsidRPr="00855FDC">
        <w:rPr>
          <w:rFonts w:ascii="Sylfaen" w:hAnsi="Sylfaen"/>
          <w:sz w:val="24"/>
        </w:rPr>
        <w:t>ւ</w:t>
      </w:r>
      <w:r w:rsidR="00FB57FD" w:rsidRPr="00855FDC">
        <w:rPr>
          <w:rFonts w:ascii="Sylfaen" w:hAnsi="Sylfaen"/>
          <w:sz w:val="24"/>
        </w:rPr>
        <w:t>թյ</w:t>
      </w:r>
      <w:r w:rsidR="00EF1732" w:rsidRPr="00855FDC">
        <w:rPr>
          <w:rFonts w:ascii="Sylfaen" w:hAnsi="Sylfaen"/>
          <w:sz w:val="24"/>
        </w:rPr>
        <w:t>ան</w:t>
      </w:r>
      <w:r w:rsidR="00EF1732" w:rsidRPr="00AB7FB9">
        <w:rPr>
          <w:rFonts w:ascii="Sylfaen" w:hAnsi="Sylfaen"/>
          <w:sz w:val="24"/>
          <w:lang w:val="fr-FR"/>
        </w:rPr>
        <w:t xml:space="preserve"> </w:t>
      </w:r>
      <w:r w:rsidR="00EF1732" w:rsidRPr="00855FDC">
        <w:rPr>
          <w:rFonts w:ascii="Sylfaen" w:hAnsi="Sylfaen"/>
          <w:sz w:val="24"/>
        </w:rPr>
        <w:t>պատճենները</w:t>
      </w:r>
      <w:r w:rsidR="00FB57FD" w:rsidRPr="00AB7FB9">
        <w:rPr>
          <w:rFonts w:ascii="Sylfaen" w:hAnsi="Sylfaen"/>
          <w:sz w:val="24"/>
          <w:lang w:val="fr-FR"/>
        </w:rPr>
        <w:t xml:space="preserve"> </w:t>
      </w:r>
      <w:r w:rsidR="00FB57FD" w:rsidRPr="00855FDC">
        <w:rPr>
          <w:rFonts w:ascii="Sylfaen" w:hAnsi="Sylfaen"/>
          <w:sz w:val="24"/>
        </w:rPr>
        <w:t>ձեռք</w:t>
      </w:r>
      <w:r w:rsidR="00FB57FD" w:rsidRPr="00AB7FB9">
        <w:rPr>
          <w:rFonts w:ascii="Sylfaen" w:hAnsi="Sylfaen"/>
          <w:sz w:val="24"/>
          <w:lang w:val="fr-FR"/>
        </w:rPr>
        <w:t xml:space="preserve"> </w:t>
      </w:r>
      <w:r w:rsidR="002C06DC" w:rsidRPr="00855FDC">
        <w:rPr>
          <w:rFonts w:ascii="Sylfaen" w:hAnsi="Sylfaen"/>
          <w:sz w:val="24"/>
        </w:rPr>
        <w:t>են</w:t>
      </w:r>
      <w:r w:rsidR="00FB57FD" w:rsidRPr="00AB7FB9">
        <w:rPr>
          <w:rFonts w:ascii="Sylfaen" w:hAnsi="Sylfaen"/>
          <w:sz w:val="24"/>
          <w:lang w:val="fr-FR"/>
        </w:rPr>
        <w:t xml:space="preserve"> </w:t>
      </w:r>
      <w:r w:rsidR="00FB57FD" w:rsidRPr="00855FDC">
        <w:rPr>
          <w:rFonts w:ascii="Sylfaen" w:hAnsi="Sylfaen"/>
          <w:sz w:val="24"/>
        </w:rPr>
        <w:t>բեր</w:t>
      </w:r>
      <w:r w:rsidR="002C06DC" w:rsidRPr="00855FDC">
        <w:rPr>
          <w:rFonts w:ascii="Sylfaen" w:hAnsi="Sylfaen"/>
          <w:sz w:val="24"/>
        </w:rPr>
        <w:t>ել</w:t>
      </w:r>
      <w:r w:rsidR="00FB57FD" w:rsidRPr="00AB7FB9">
        <w:rPr>
          <w:rFonts w:ascii="Sylfaen" w:hAnsi="Sylfaen"/>
          <w:sz w:val="24"/>
          <w:lang w:val="fr-FR"/>
        </w:rPr>
        <w:t xml:space="preserve"> </w:t>
      </w:r>
      <w:r w:rsidR="00FB57FD" w:rsidRPr="00855FDC">
        <w:rPr>
          <w:rFonts w:ascii="Sylfaen" w:hAnsi="Sylfaen"/>
          <w:sz w:val="24"/>
        </w:rPr>
        <w:t>մի</w:t>
      </w:r>
      <w:r w:rsidR="00FB57FD" w:rsidRPr="00AB7FB9">
        <w:rPr>
          <w:rFonts w:ascii="Sylfaen" w:hAnsi="Sylfaen"/>
          <w:sz w:val="24"/>
          <w:lang w:val="fr-FR"/>
        </w:rPr>
        <w:t xml:space="preserve"> </w:t>
      </w:r>
      <w:r w:rsidR="00FB57FD" w:rsidRPr="00855FDC">
        <w:rPr>
          <w:rFonts w:ascii="Sylfaen" w:hAnsi="Sylfaen"/>
          <w:sz w:val="24"/>
        </w:rPr>
        <w:t>փոքր</w:t>
      </w:r>
      <w:r w:rsidR="00FB57FD" w:rsidRPr="00AB7FB9">
        <w:rPr>
          <w:rFonts w:ascii="Sylfaen" w:hAnsi="Sylfaen"/>
          <w:sz w:val="24"/>
          <w:lang w:val="fr-FR"/>
        </w:rPr>
        <w:t xml:space="preserve"> </w:t>
      </w:r>
      <w:r w:rsidR="00FB57FD" w:rsidRPr="00855FDC">
        <w:rPr>
          <w:rFonts w:ascii="Sylfaen" w:hAnsi="Sylfaen"/>
          <w:sz w:val="24"/>
        </w:rPr>
        <w:t>ուշացումով</w:t>
      </w:r>
      <w:r w:rsidR="00EF1732" w:rsidRPr="00AB7FB9">
        <w:rPr>
          <w:rFonts w:ascii="Sylfaen" w:hAnsi="Sylfaen"/>
          <w:sz w:val="24"/>
          <w:lang w:val="fr-FR"/>
        </w:rPr>
        <w:t xml:space="preserve">` </w:t>
      </w:r>
      <w:r w:rsidR="00EF1732" w:rsidRPr="00855FDC">
        <w:rPr>
          <w:rFonts w:ascii="Sylfaen" w:hAnsi="Sylfaen"/>
          <w:sz w:val="24"/>
        </w:rPr>
        <w:t>դրանց</w:t>
      </w:r>
      <w:r w:rsidR="00EF1732" w:rsidRPr="00AB7FB9">
        <w:rPr>
          <w:rFonts w:ascii="Sylfaen" w:hAnsi="Sylfaen"/>
          <w:sz w:val="24"/>
          <w:lang w:val="fr-FR"/>
        </w:rPr>
        <w:t xml:space="preserve"> </w:t>
      </w:r>
      <w:r w:rsidR="00EF1732" w:rsidRPr="00855FDC">
        <w:rPr>
          <w:rFonts w:ascii="Sylfaen" w:hAnsi="Sylfaen"/>
          <w:sz w:val="24"/>
        </w:rPr>
        <w:t>համար</w:t>
      </w:r>
      <w:r w:rsidR="00EF1732" w:rsidRPr="00AB7FB9">
        <w:rPr>
          <w:rFonts w:ascii="Sylfaen" w:hAnsi="Sylfaen"/>
          <w:sz w:val="24"/>
          <w:lang w:val="fr-FR"/>
        </w:rPr>
        <w:t xml:space="preserve"> </w:t>
      </w:r>
      <w:r w:rsidR="00EF1732" w:rsidRPr="00855FDC">
        <w:rPr>
          <w:rFonts w:ascii="Sylfaen" w:hAnsi="Sylfaen"/>
          <w:sz w:val="24"/>
        </w:rPr>
        <w:t>օգտ</w:t>
      </w:r>
      <w:r w:rsidR="002C06DC" w:rsidRPr="00855FDC">
        <w:rPr>
          <w:rFonts w:ascii="Sylfaen" w:hAnsi="Sylfaen"/>
          <w:sz w:val="24"/>
        </w:rPr>
        <w:t>ա</w:t>
      </w:r>
      <w:r w:rsidR="00EF1732" w:rsidRPr="00855FDC">
        <w:rPr>
          <w:rFonts w:ascii="Sylfaen" w:hAnsi="Sylfaen"/>
          <w:sz w:val="24"/>
        </w:rPr>
        <w:t>գործելով</w:t>
      </w:r>
      <w:r w:rsidR="00EF1732" w:rsidRPr="00AB7FB9">
        <w:rPr>
          <w:rFonts w:ascii="Sylfaen" w:hAnsi="Sylfaen"/>
          <w:sz w:val="24"/>
          <w:lang w:val="fr-FR"/>
        </w:rPr>
        <w:t xml:space="preserve"> </w:t>
      </w:r>
      <w:r w:rsidR="00EF1732" w:rsidRPr="00855FDC">
        <w:rPr>
          <w:rFonts w:ascii="Sylfaen" w:hAnsi="Sylfaen"/>
          <w:sz w:val="24"/>
        </w:rPr>
        <w:t>հասարակության</w:t>
      </w:r>
      <w:r w:rsidR="00EF1732" w:rsidRPr="00AB7FB9">
        <w:rPr>
          <w:rFonts w:ascii="Sylfaen" w:hAnsi="Sylfaen"/>
          <w:sz w:val="24"/>
          <w:lang w:val="fr-FR"/>
        </w:rPr>
        <w:t xml:space="preserve"> </w:t>
      </w:r>
      <w:r w:rsidR="002C06DC" w:rsidRPr="00855FDC">
        <w:rPr>
          <w:rFonts w:ascii="Sylfaen" w:hAnsi="Sylfaen"/>
          <w:sz w:val="24"/>
        </w:rPr>
        <w:t>կողմից</w:t>
      </w:r>
      <w:r w:rsidR="002C06DC" w:rsidRPr="00AB7FB9">
        <w:rPr>
          <w:rFonts w:ascii="Sylfaen" w:hAnsi="Sylfaen"/>
          <w:sz w:val="24"/>
          <w:lang w:val="fr-FR"/>
        </w:rPr>
        <w:t xml:space="preserve"> </w:t>
      </w:r>
      <w:r w:rsidR="002C06DC" w:rsidRPr="00855FDC">
        <w:rPr>
          <w:rFonts w:ascii="Sylfaen" w:hAnsi="Sylfaen"/>
          <w:sz w:val="24"/>
        </w:rPr>
        <w:t>հանգանակած</w:t>
      </w:r>
      <w:r w:rsidR="00EF1732" w:rsidRPr="00AB7FB9">
        <w:rPr>
          <w:rFonts w:ascii="Sylfaen" w:hAnsi="Sylfaen"/>
          <w:sz w:val="24"/>
          <w:lang w:val="fr-FR"/>
        </w:rPr>
        <w:t xml:space="preserve"> </w:t>
      </w:r>
      <w:r w:rsidR="00EF1732" w:rsidRPr="00855FDC">
        <w:rPr>
          <w:rFonts w:ascii="Sylfaen" w:hAnsi="Sylfaen"/>
          <w:sz w:val="24"/>
        </w:rPr>
        <w:t>գումարը</w:t>
      </w:r>
      <w:r w:rsidR="00FB57FD" w:rsidRPr="00AB7FB9">
        <w:rPr>
          <w:rFonts w:ascii="Sylfaen" w:hAnsi="Sylfaen"/>
          <w:sz w:val="24"/>
          <w:lang w:val="fr-FR"/>
        </w:rPr>
        <w:t>:</w:t>
      </w:r>
      <w:r w:rsidR="00CA1B43" w:rsidRPr="00AB7FB9">
        <w:rPr>
          <w:rFonts w:ascii="Sylfaen" w:hAnsi="Sylfaen"/>
          <w:sz w:val="24"/>
          <w:lang w:val="fr-FR"/>
        </w:rPr>
        <w:t xml:space="preserve"> </w:t>
      </w:r>
      <w:r w:rsidR="006C5711" w:rsidRPr="00855FDC">
        <w:rPr>
          <w:rFonts w:ascii="Sylfaen" w:hAnsi="Sylfaen"/>
          <w:sz w:val="24"/>
        </w:rPr>
        <w:t>Դատավարության</w:t>
      </w:r>
      <w:r w:rsidR="006C5711" w:rsidRPr="00AB7FB9">
        <w:rPr>
          <w:rFonts w:ascii="Sylfaen" w:hAnsi="Sylfaen"/>
          <w:sz w:val="24"/>
          <w:lang w:val="fr-FR"/>
        </w:rPr>
        <w:t xml:space="preserve"> </w:t>
      </w:r>
      <w:r w:rsidR="006C5711" w:rsidRPr="00855FDC">
        <w:rPr>
          <w:rFonts w:ascii="Sylfaen" w:hAnsi="Sylfaen"/>
          <w:sz w:val="24"/>
        </w:rPr>
        <w:t>ընթացքում</w:t>
      </w:r>
      <w:r w:rsidR="006C5711" w:rsidRPr="00AB7FB9">
        <w:rPr>
          <w:rFonts w:ascii="Sylfaen" w:hAnsi="Sylfaen"/>
          <w:sz w:val="24"/>
          <w:lang w:val="fr-FR"/>
        </w:rPr>
        <w:t xml:space="preserve"> </w:t>
      </w:r>
      <w:r w:rsidR="00943EE5" w:rsidRPr="00855FDC">
        <w:rPr>
          <w:rFonts w:ascii="Sylfaen" w:hAnsi="Sylfaen"/>
          <w:sz w:val="24"/>
        </w:rPr>
        <w:t>դիմումատունե</w:t>
      </w:r>
      <w:r w:rsidR="006C5711" w:rsidRPr="00855FDC">
        <w:rPr>
          <w:rFonts w:ascii="Sylfaen" w:hAnsi="Sylfaen"/>
          <w:sz w:val="24"/>
        </w:rPr>
        <w:t>րից</w:t>
      </w:r>
      <w:r w:rsidR="006C5711" w:rsidRPr="00AB7FB9">
        <w:rPr>
          <w:rFonts w:ascii="Sylfaen" w:hAnsi="Sylfaen"/>
          <w:sz w:val="24"/>
          <w:lang w:val="fr-FR"/>
        </w:rPr>
        <w:t xml:space="preserve"> </w:t>
      </w:r>
      <w:r w:rsidR="006C5711" w:rsidRPr="00855FDC">
        <w:rPr>
          <w:rFonts w:ascii="Sylfaen" w:hAnsi="Sylfaen"/>
          <w:sz w:val="24"/>
        </w:rPr>
        <w:t>մեկը</w:t>
      </w:r>
      <w:r w:rsidR="006C5711" w:rsidRPr="00AB7FB9">
        <w:rPr>
          <w:rFonts w:ascii="Sylfaen" w:hAnsi="Sylfaen"/>
          <w:sz w:val="24"/>
          <w:lang w:val="fr-FR"/>
        </w:rPr>
        <w:t xml:space="preserve"> </w:t>
      </w:r>
      <w:r w:rsidR="006C5711" w:rsidRPr="00855FDC">
        <w:rPr>
          <w:rFonts w:ascii="Sylfaen" w:hAnsi="Sylfaen"/>
          <w:sz w:val="24"/>
        </w:rPr>
        <w:t>գրավոր</w:t>
      </w:r>
      <w:r w:rsidR="006C5711" w:rsidRPr="00AB7FB9">
        <w:rPr>
          <w:rFonts w:ascii="Sylfaen" w:hAnsi="Sylfaen"/>
          <w:sz w:val="24"/>
          <w:lang w:val="fr-FR"/>
        </w:rPr>
        <w:t xml:space="preserve"> </w:t>
      </w:r>
      <w:r w:rsidR="006C5711" w:rsidRPr="00855FDC">
        <w:rPr>
          <w:rFonts w:ascii="Sylfaen" w:hAnsi="Sylfaen"/>
          <w:sz w:val="24"/>
        </w:rPr>
        <w:t>ցուցմունք</w:t>
      </w:r>
      <w:r w:rsidR="006C5711" w:rsidRPr="00AB7FB9">
        <w:rPr>
          <w:rFonts w:ascii="Sylfaen" w:hAnsi="Sylfaen"/>
          <w:sz w:val="24"/>
          <w:lang w:val="fr-FR"/>
        </w:rPr>
        <w:t xml:space="preserve"> </w:t>
      </w:r>
      <w:r w:rsidR="006C5711" w:rsidRPr="00855FDC">
        <w:rPr>
          <w:rFonts w:ascii="Sylfaen" w:hAnsi="Sylfaen"/>
          <w:sz w:val="24"/>
        </w:rPr>
        <w:t>է</w:t>
      </w:r>
      <w:r w:rsidR="006C5711" w:rsidRPr="00AB7FB9">
        <w:rPr>
          <w:rFonts w:ascii="Sylfaen" w:hAnsi="Sylfaen"/>
          <w:sz w:val="24"/>
          <w:lang w:val="fr-FR"/>
        </w:rPr>
        <w:t xml:space="preserve"> </w:t>
      </w:r>
      <w:r w:rsidR="006C5711" w:rsidRPr="00855FDC">
        <w:rPr>
          <w:rFonts w:ascii="Sylfaen" w:hAnsi="Sylfaen"/>
          <w:sz w:val="24"/>
        </w:rPr>
        <w:t>ստորագրել</w:t>
      </w:r>
      <w:r w:rsidR="006C5711" w:rsidRPr="00AB7FB9">
        <w:rPr>
          <w:rFonts w:ascii="Sylfaen" w:hAnsi="Sylfaen"/>
          <w:sz w:val="24"/>
          <w:lang w:val="fr-FR"/>
        </w:rPr>
        <w:t xml:space="preserve">, </w:t>
      </w:r>
      <w:r w:rsidR="006C5711" w:rsidRPr="00855FDC">
        <w:rPr>
          <w:rFonts w:ascii="Sylfaen" w:hAnsi="Sylfaen"/>
          <w:sz w:val="24"/>
        </w:rPr>
        <w:t>որտեղ</w:t>
      </w:r>
      <w:r w:rsidR="006C5711" w:rsidRPr="00AB7FB9">
        <w:rPr>
          <w:rFonts w:ascii="Sylfaen" w:hAnsi="Sylfaen"/>
          <w:sz w:val="24"/>
          <w:lang w:val="fr-FR"/>
        </w:rPr>
        <w:t xml:space="preserve"> </w:t>
      </w:r>
      <w:r w:rsidR="006C5711" w:rsidRPr="00855FDC">
        <w:rPr>
          <w:rFonts w:ascii="Sylfaen" w:hAnsi="Sylfaen"/>
          <w:sz w:val="24"/>
        </w:rPr>
        <w:t>նշված</w:t>
      </w:r>
      <w:r w:rsidR="006C5711" w:rsidRPr="00AB7FB9">
        <w:rPr>
          <w:rFonts w:ascii="Sylfaen" w:hAnsi="Sylfaen"/>
          <w:sz w:val="24"/>
          <w:lang w:val="fr-FR"/>
        </w:rPr>
        <w:t xml:space="preserve"> </w:t>
      </w:r>
      <w:r w:rsidR="006C5711" w:rsidRPr="00855FDC">
        <w:rPr>
          <w:rFonts w:ascii="Sylfaen" w:hAnsi="Sylfaen"/>
          <w:sz w:val="24"/>
        </w:rPr>
        <w:t>է</w:t>
      </w:r>
      <w:r w:rsidR="002C06DC" w:rsidRPr="00855FDC">
        <w:rPr>
          <w:rFonts w:ascii="Sylfaen" w:hAnsi="Sylfaen"/>
          <w:sz w:val="24"/>
        </w:rPr>
        <w:t>ր</w:t>
      </w:r>
      <w:r w:rsidR="006C5711" w:rsidRPr="00AB7FB9">
        <w:rPr>
          <w:rFonts w:ascii="Sylfaen" w:hAnsi="Sylfaen"/>
          <w:sz w:val="24"/>
          <w:lang w:val="fr-FR"/>
        </w:rPr>
        <w:t xml:space="preserve">, </w:t>
      </w:r>
      <w:r w:rsidR="006C5711" w:rsidRPr="00855FDC">
        <w:rPr>
          <w:rFonts w:ascii="Sylfaen" w:hAnsi="Sylfaen"/>
          <w:sz w:val="24"/>
        </w:rPr>
        <w:t>որ</w:t>
      </w:r>
      <w:r w:rsidR="006C5711" w:rsidRPr="00AB7FB9">
        <w:rPr>
          <w:rFonts w:ascii="Sylfaen" w:hAnsi="Sylfaen"/>
          <w:sz w:val="24"/>
          <w:lang w:val="fr-FR"/>
        </w:rPr>
        <w:t xml:space="preserve"> </w:t>
      </w:r>
      <w:r w:rsidR="006C5711" w:rsidRPr="00855FDC">
        <w:rPr>
          <w:rFonts w:ascii="Sylfaen" w:hAnsi="Sylfaen"/>
          <w:sz w:val="24"/>
        </w:rPr>
        <w:t>զրպարտության</w:t>
      </w:r>
      <w:r w:rsidR="006C5711" w:rsidRPr="00AB7FB9">
        <w:rPr>
          <w:rFonts w:ascii="Sylfaen" w:hAnsi="Sylfaen"/>
          <w:sz w:val="24"/>
          <w:lang w:val="fr-FR"/>
        </w:rPr>
        <w:t xml:space="preserve"> </w:t>
      </w:r>
      <w:r w:rsidR="006C5711" w:rsidRPr="00855FDC">
        <w:rPr>
          <w:rFonts w:ascii="Sylfaen" w:hAnsi="Sylfaen"/>
          <w:sz w:val="24"/>
        </w:rPr>
        <w:t>գործը</w:t>
      </w:r>
      <w:r w:rsidR="006C5711" w:rsidRPr="00AB7FB9">
        <w:rPr>
          <w:rFonts w:ascii="Sylfaen" w:hAnsi="Sylfaen"/>
          <w:sz w:val="24"/>
          <w:lang w:val="fr-FR"/>
        </w:rPr>
        <w:t xml:space="preserve"> </w:t>
      </w:r>
      <w:r w:rsidR="006C5711" w:rsidRPr="00855FDC">
        <w:rPr>
          <w:rFonts w:ascii="Sylfaen" w:hAnsi="Sylfaen"/>
          <w:sz w:val="24"/>
        </w:rPr>
        <w:t>ծագել</w:t>
      </w:r>
      <w:r w:rsidR="006C5711" w:rsidRPr="00AB7FB9">
        <w:rPr>
          <w:rFonts w:ascii="Sylfaen" w:hAnsi="Sylfaen"/>
          <w:sz w:val="24"/>
          <w:lang w:val="fr-FR"/>
        </w:rPr>
        <w:t xml:space="preserve"> </w:t>
      </w:r>
      <w:r w:rsidR="006C5711" w:rsidRPr="00855FDC">
        <w:rPr>
          <w:rFonts w:ascii="Sylfaen" w:hAnsi="Sylfaen"/>
          <w:sz w:val="24"/>
        </w:rPr>
        <w:t>է</w:t>
      </w:r>
      <w:r w:rsidR="006C5711" w:rsidRPr="00AB7FB9">
        <w:rPr>
          <w:rFonts w:ascii="Sylfaen" w:hAnsi="Sylfaen"/>
          <w:sz w:val="24"/>
          <w:lang w:val="fr-FR"/>
        </w:rPr>
        <w:t xml:space="preserve"> «</w:t>
      </w:r>
      <w:r w:rsidR="006C5711" w:rsidRPr="00855FDC">
        <w:rPr>
          <w:rFonts w:ascii="Sylfaen" w:hAnsi="Sylfaen"/>
          <w:sz w:val="24"/>
        </w:rPr>
        <w:t>մեր</w:t>
      </w:r>
      <w:r w:rsidR="006C5711" w:rsidRPr="00AB7FB9">
        <w:rPr>
          <w:rFonts w:ascii="Sylfaen" w:hAnsi="Sylfaen"/>
          <w:sz w:val="24"/>
          <w:lang w:val="fr-FR"/>
        </w:rPr>
        <w:t xml:space="preserve"> </w:t>
      </w:r>
      <w:r w:rsidR="006C5711" w:rsidRPr="00855FDC">
        <w:rPr>
          <w:rFonts w:ascii="Sylfaen" w:hAnsi="Sylfaen"/>
          <w:sz w:val="24"/>
        </w:rPr>
        <w:t>կողմից</w:t>
      </w:r>
      <w:r w:rsidR="006C5711" w:rsidRPr="00AB7FB9">
        <w:rPr>
          <w:rFonts w:ascii="Sylfaen" w:hAnsi="Sylfaen"/>
          <w:sz w:val="24"/>
          <w:lang w:val="fr-FR"/>
        </w:rPr>
        <w:t xml:space="preserve"> </w:t>
      </w:r>
      <w:r w:rsidR="006C5711" w:rsidRPr="00855FDC">
        <w:rPr>
          <w:rFonts w:ascii="Sylfaen" w:hAnsi="Sylfaen"/>
          <w:sz w:val="24"/>
        </w:rPr>
        <w:t>տպագրված</w:t>
      </w:r>
      <w:r w:rsidR="006C5711" w:rsidRPr="00AB7FB9">
        <w:rPr>
          <w:rFonts w:ascii="Sylfaen" w:hAnsi="Sylfaen"/>
          <w:sz w:val="24"/>
          <w:lang w:val="fr-FR"/>
        </w:rPr>
        <w:t xml:space="preserve"> </w:t>
      </w:r>
      <w:r w:rsidR="006C5711" w:rsidRPr="00855FDC">
        <w:rPr>
          <w:rFonts w:ascii="Sylfaen" w:hAnsi="Sylfaen"/>
          <w:sz w:val="24"/>
        </w:rPr>
        <w:t>թեր</w:t>
      </w:r>
      <w:r w:rsidR="00943EE5" w:rsidRPr="00855FDC">
        <w:rPr>
          <w:rFonts w:ascii="Sylfaen" w:hAnsi="Sylfaen"/>
          <w:sz w:val="24"/>
        </w:rPr>
        <w:t>թիկ</w:t>
      </w:r>
      <w:r w:rsidR="006C5711" w:rsidRPr="00855FDC">
        <w:rPr>
          <w:rFonts w:ascii="Sylfaen" w:hAnsi="Sylfaen"/>
          <w:sz w:val="24"/>
        </w:rPr>
        <w:t>ների</w:t>
      </w:r>
      <w:r w:rsidR="006C5711" w:rsidRPr="00AB7FB9">
        <w:rPr>
          <w:rFonts w:ascii="Sylfaen" w:hAnsi="Sylfaen"/>
          <w:sz w:val="24"/>
          <w:lang w:val="fr-FR"/>
        </w:rPr>
        <w:t xml:space="preserve">» </w:t>
      </w:r>
      <w:r w:rsidR="006C5711" w:rsidRPr="00855FDC">
        <w:rPr>
          <w:rFonts w:ascii="Sylfaen" w:hAnsi="Sylfaen"/>
          <w:sz w:val="24"/>
        </w:rPr>
        <w:t>պատճառով</w:t>
      </w:r>
      <w:r w:rsidR="006C5711" w:rsidRPr="00AB7FB9">
        <w:rPr>
          <w:rFonts w:ascii="Sylfaen" w:hAnsi="Sylfaen"/>
          <w:sz w:val="24"/>
          <w:lang w:val="fr-FR"/>
        </w:rPr>
        <w:t xml:space="preserve">: </w:t>
      </w:r>
      <w:r w:rsidR="006C5711" w:rsidRPr="00855FDC">
        <w:rPr>
          <w:rFonts w:ascii="Sylfaen" w:hAnsi="Sylfaen"/>
          <w:sz w:val="24"/>
        </w:rPr>
        <w:t>Եվ</w:t>
      </w:r>
      <w:r w:rsidR="006C5711" w:rsidRPr="00AB7FB9">
        <w:rPr>
          <w:rFonts w:ascii="Sylfaen" w:hAnsi="Sylfaen"/>
          <w:sz w:val="24"/>
          <w:lang w:val="fr-FR"/>
        </w:rPr>
        <w:t xml:space="preserve"> </w:t>
      </w:r>
      <w:r w:rsidR="005E3838" w:rsidRPr="00855FDC">
        <w:rPr>
          <w:rFonts w:ascii="Sylfaen" w:hAnsi="Sylfaen"/>
          <w:sz w:val="24"/>
        </w:rPr>
        <w:t>չնայած</w:t>
      </w:r>
      <w:r w:rsidR="005E3838" w:rsidRPr="00AB7FB9">
        <w:rPr>
          <w:rFonts w:ascii="Sylfaen" w:hAnsi="Sylfaen"/>
          <w:sz w:val="24"/>
          <w:lang w:val="fr-FR"/>
        </w:rPr>
        <w:t xml:space="preserve"> </w:t>
      </w:r>
      <w:r w:rsidR="002C06DC" w:rsidRPr="00855FDC">
        <w:rPr>
          <w:rFonts w:ascii="Sylfaen" w:hAnsi="Sylfaen"/>
          <w:sz w:val="24"/>
        </w:rPr>
        <w:t>դիմումատ</w:t>
      </w:r>
      <w:r w:rsidR="005E3838" w:rsidRPr="00855FDC">
        <w:rPr>
          <w:rFonts w:ascii="Sylfaen" w:hAnsi="Sylfaen"/>
          <w:sz w:val="24"/>
        </w:rPr>
        <w:t>ուի</w:t>
      </w:r>
      <w:r w:rsidR="005E3838" w:rsidRPr="00AB7FB9">
        <w:rPr>
          <w:rFonts w:ascii="Sylfaen" w:hAnsi="Sylfaen"/>
          <w:sz w:val="24"/>
          <w:lang w:val="fr-FR"/>
        </w:rPr>
        <w:t xml:space="preserve"> </w:t>
      </w:r>
      <w:r w:rsidR="005E3838" w:rsidRPr="00855FDC">
        <w:rPr>
          <w:rFonts w:ascii="Sylfaen" w:hAnsi="Sylfaen"/>
          <w:sz w:val="24"/>
        </w:rPr>
        <w:t>առարկ</w:t>
      </w:r>
      <w:r w:rsidR="002C06DC" w:rsidRPr="00855FDC">
        <w:rPr>
          <w:rFonts w:ascii="Sylfaen" w:hAnsi="Sylfaen"/>
          <w:sz w:val="24"/>
        </w:rPr>
        <w:t>ության</w:t>
      </w:r>
      <w:r w:rsidR="005E3838" w:rsidRPr="00855FDC">
        <w:rPr>
          <w:rFonts w:ascii="Sylfaen" w:hAnsi="Sylfaen"/>
          <w:sz w:val="24"/>
        </w:rPr>
        <w:t>ը</w:t>
      </w:r>
      <w:r w:rsidR="002C06DC" w:rsidRPr="00AB7FB9">
        <w:rPr>
          <w:rFonts w:ascii="Sylfaen" w:hAnsi="Sylfaen"/>
          <w:sz w:val="24"/>
          <w:lang w:val="fr-FR"/>
        </w:rPr>
        <w:t xml:space="preserve">, </w:t>
      </w:r>
      <w:r w:rsidR="002C06DC" w:rsidRPr="00855FDC">
        <w:rPr>
          <w:rFonts w:ascii="Sylfaen" w:hAnsi="Sylfaen"/>
          <w:sz w:val="24"/>
        </w:rPr>
        <w:t>որով</w:t>
      </w:r>
      <w:r w:rsidR="002C06DC" w:rsidRPr="00AB7FB9">
        <w:rPr>
          <w:rFonts w:ascii="Sylfaen" w:hAnsi="Sylfaen"/>
          <w:sz w:val="24"/>
          <w:lang w:val="fr-FR"/>
        </w:rPr>
        <w:t xml:space="preserve"> </w:t>
      </w:r>
      <w:r w:rsidR="002C06DC" w:rsidRPr="00855FDC">
        <w:rPr>
          <w:rFonts w:ascii="Sylfaen" w:hAnsi="Sylfaen"/>
          <w:sz w:val="24"/>
        </w:rPr>
        <w:t>վերջինս</w:t>
      </w:r>
      <w:r w:rsidR="002C06DC" w:rsidRPr="00AB7FB9">
        <w:rPr>
          <w:rFonts w:ascii="Sylfaen" w:hAnsi="Sylfaen"/>
          <w:sz w:val="24"/>
          <w:lang w:val="fr-FR"/>
        </w:rPr>
        <w:t xml:space="preserve"> </w:t>
      </w:r>
      <w:r w:rsidR="002C06DC" w:rsidRPr="00855FDC">
        <w:rPr>
          <w:rFonts w:ascii="Sylfaen" w:hAnsi="Sylfaen"/>
          <w:sz w:val="24"/>
        </w:rPr>
        <w:t>պնդում</w:t>
      </w:r>
      <w:r w:rsidR="002C06DC" w:rsidRPr="00AB7FB9">
        <w:rPr>
          <w:rFonts w:ascii="Sylfaen" w:hAnsi="Sylfaen"/>
          <w:sz w:val="24"/>
          <w:lang w:val="fr-FR"/>
        </w:rPr>
        <w:t xml:space="preserve"> </w:t>
      </w:r>
      <w:r w:rsidR="002C06DC" w:rsidRPr="00855FDC">
        <w:rPr>
          <w:rFonts w:ascii="Sylfaen" w:hAnsi="Sylfaen"/>
          <w:sz w:val="24"/>
        </w:rPr>
        <w:t>էր</w:t>
      </w:r>
      <w:r w:rsidR="002C06DC" w:rsidRPr="00AB7FB9">
        <w:rPr>
          <w:rFonts w:ascii="Sylfaen" w:hAnsi="Sylfaen"/>
          <w:sz w:val="24"/>
          <w:lang w:val="fr-FR"/>
        </w:rPr>
        <w:t xml:space="preserve">, </w:t>
      </w:r>
      <w:r w:rsidR="002C06DC" w:rsidRPr="00855FDC">
        <w:rPr>
          <w:rFonts w:ascii="Sylfaen" w:hAnsi="Sylfaen"/>
          <w:sz w:val="24"/>
        </w:rPr>
        <w:t>որ</w:t>
      </w:r>
      <w:r w:rsidR="005E3838" w:rsidRPr="00AB7FB9">
        <w:rPr>
          <w:rFonts w:ascii="Sylfaen" w:hAnsi="Sylfaen"/>
          <w:sz w:val="24"/>
          <w:lang w:val="fr-FR"/>
        </w:rPr>
        <w:t xml:space="preserve"> </w:t>
      </w:r>
      <w:r w:rsidR="005E3838" w:rsidRPr="00855FDC">
        <w:rPr>
          <w:rFonts w:ascii="Sylfaen" w:hAnsi="Sylfaen"/>
          <w:sz w:val="24"/>
        </w:rPr>
        <w:t>իրավաբանը</w:t>
      </w:r>
      <w:r w:rsidR="005E3838" w:rsidRPr="00AB7FB9">
        <w:rPr>
          <w:rFonts w:ascii="Sylfaen" w:hAnsi="Sylfaen"/>
          <w:sz w:val="24"/>
          <w:lang w:val="fr-FR"/>
        </w:rPr>
        <w:t xml:space="preserve"> </w:t>
      </w:r>
      <w:r w:rsidR="005E3838" w:rsidRPr="00855FDC">
        <w:rPr>
          <w:rFonts w:ascii="Sylfaen" w:hAnsi="Sylfaen"/>
          <w:sz w:val="24"/>
        </w:rPr>
        <w:t>սխալմամբ</w:t>
      </w:r>
      <w:r w:rsidR="005E3838" w:rsidRPr="00AB7FB9">
        <w:rPr>
          <w:rFonts w:ascii="Sylfaen" w:hAnsi="Sylfaen"/>
          <w:sz w:val="24"/>
          <w:lang w:val="fr-FR"/>
        </w:rPr>
        <w:t xml:space="preserve"> </w:t>
      </w:r>
      <w:r w:rsidR="005E3838" w:rsidRPr="00855FDC">
        <w:rPr>
          <w:rFonts w:ascii="Sylfaen" w:hAnsi="Sylfaen"/>
          <w:sz w:val="24"/>
        </w:rPr>
        <w:t>մոռացել</w:t>
      </w:r>
      <w:r w:rsidR="005E3838" w:rsidRPr="00AB7FB9">
        <w:rPr>
          <w:rFonts w:ascii="Sylfaen" w:hAnsi="Sylfaen"/>
          <w:sz w:val="24"/>
          <w:lang w:val="fr-FR"/>
        </w:rPr>
        <w:t xml:space="preserve"> </w:t>
      </w:r>
      <w:r w:rsidR="005E3838" w:rsidRPr="00855FDC">
        <w:rPr>
          <w:rFonts w:ascii="Sylfaen" w:hAnsi="Sylfaen"/>
          <w:sz w:val="24"/>
        </w:rPr>
        <w:t>է</w:t>
      </w:r>
      <w:r w:rsidR="005E3838" w:rsidRPr="00AB7FB9">
        <w:rPr>
          <w:rFonts w:ascii="Sylfaen" w:hAnsi="Sylfaen"/>
          <w:sz w:val="24"/>
          <w:lang w:val="fr-FR"/>
        </w:rPr>
        <w:t xml:space="preserve"> </w:t>
      </w:r>
      <w:r w:rsidR="005E3838" w:rsidRPr="00855FDC">
        <w:rPr>
          <w:rFonts w:ascii="Sylfaen" w:hAnsi="Sylfaen"/>
          <w:sz w:val="24"/>
        </w:rPr>
        <w:t>այդ</w:t>
      </w:r>
      <w:r w:rsidR="005E3838" w:rsidRPr="00AB7FB9">
        <w:rPr>
          <w:rFonts w:ascii="Sylfaen" w:hAnsi="Sylfaen"/>
          <w:sz w:val="24"/>
          <w:lang w:val="fr-FR"/>
        </w:rPr>
        <w:t xml:space="preserve"> </w:t>
      </w:r>
      <w:r w:rsidR="005E3838" w:rsidRPr="00855FDC">
        <w:rPr>
          <w:rFonts w:ascii="Sylfaen" w:hAnsi="Sylfaen"/>
          <w:sz w:val="24"/>
        </w:rPr>
        <w:t>արտահայտության</w:t>
      </w:r>
      <w:r w:rsidR="005E3838" w:rsidRPr="00AB7FB9">
        <w:rPr>
          <w:rFonts w:ascii="Sylfaen" w:hAnsi="Sylfaen"/>
          <w:sz w:val="24"/>
          <w:lang w:val="fr-FR"/>
        </w:rPr>
        <w:t xml:space="preserve"> </w:t>
      </w:r>
      <w:r w:rsidR="005E3838" w:rsidRPr="00855FDC">
        <w:rPr>
          <w:rFonts w:ascii="Sylfaen" w:hAnsi="Sylfaen"/>
          <w:sz w:val="24"/>
        </w:rPr>
        <w:t>մեջ</w:t>
      </w:r>
      <w:r w:rsidR="005E3838" w:rsidRPr="00AB7FB9">
        <w:rPr>
          <w:rFonts w:ascii="Sylfaen" w:hAnsi="Sylfaen"/>
          <w:sz w:val="24"/>
          <w:lang w:val="fr-FR"/>
        </w:rPr>
        <w:t xml:space="preserve"> </w:t>
      </w:r>
      <w:r w:rsidR="005E3838" w:rsidRPr="00855FDC">
        <w:rPr>
          <w:rFonts w:ascii="Sylfaen" w:hAnsi="Sylfaen"/>
          <w:sz w:val="24"/>
        </w:rPr>
        <w:t>ներառել</w:t>
      </w:r>
      <w:r w:rsidR="005E3838" w:rsidRPr="00AB7FB9">
        <w:rPr>
          <w:rFonts w:ascii="Sylfaen" w:hAnsi="Sylfaen"/>
          <w:sz w:val="24"/>
          <w:lang w:val="fr-FR"/>
        </w:rPr>
        <w:t xml:space="preserve"> «</w:t>
      </w:r>
      <w:r w:rsidR="005E3838" w:rsidRPr="00855FDC">
        <w:rPr>
          <w:rFonts w:ascii="Sylfaen" w:hAnsi="Sylfaen"/>
          <w:sz w:val="24"/>
        </w:rPr>
        <w:t>ենթադրաբար</w:t>
      </w:r>
      <w:r w:rsidR="005E3838" w:rsidRPr="00AB7FB9">
        <w:rPr>
          <w:rFonts w:ascii="Sylfaen" w:hAnsi="Sylfaen"/>
          <w:sz w:val="24"/>
          <w:lang w:val="fr-FR"/>
        </w:rPr>
        <w:t xml:space="preserve"> </w:t>
      </w:r>
      <w:r w:rsidR="005E3838" w:rsidRPr="00855FDC">
        <w:rPr>
          <w:rFonts w:ascii="Sylfaen" w:hAnsi="Sylfaen"/>
          <w:sz w:val="24"/>
        </w:rPr>
        <w:t>տպագրված</w:t>
      </w:r>
      <w:r w:rsidR="005E3838" w:rsidRPr="00AB7FB9">
        <w:rPr>
          <w:rFonts w:ascii="Sylfaen" w:hAnsi="Sylfaen"/>
          <w:sz w:val="24"/>
          <w:lang w:val="fr-FR"/>
        </w:rPr>
        <w:t xml:space="preserve">» </w:t>
      </w:r>
      <w:r w:rsidR="002C06DC" w:rsidRPr="00855FDC">
        <w:rPr>
          <w:rFonts w:ascii="Sylfaen" w:hAnsi="Sylfaen"/>
          <w:sz w:val="24"/>
        </w:rPr>
        <w:t>բառակապակցությունը</w:t>
      </w:r>
      <w:r w:rsidR="002C06DC" w:rsidRPr="00AB7FB9">
        <w:rPr>
          <w:rFonts w:ascii="Sylfaen" w:hAnsi="Sylfaen"/>
          <w:sz w:val="24"/>
          <w:lang w:val="fr-FR"/>
        </w:rPr>
        <w:t>`</w:t>
      </w:r>
      <w:r w:rsidR="001D2702" w:rsidRPr="00AB7FB9">
        <w:rPr>
          <w:rFonts w:ascii="Sylfaen" w:hAnsi="Sylfaen"/>
          <w:sz w:val="24"/>
          <w:lang w:val="fr-FR"/>
        </w:rPr>
        <w:t xml:space="preserve"> </w:t>
      </w:r>
      <w:r w:rsidR="001D2702" w:rsidRPr="00855FDC">
        <w:rPr>
          <w:rFonts w:ascii="Sylfaen" w:hAnsi="Sylfaen"/>
          <w:sz w:val="24"/>
        </w:rPr>
        <w:t>դատավորը</w:t>
      </w:r>
      <w:r w:rsidR="001D2702" w:rsidRPr="00AB7FB9">
        <w:rPr>
          <w:rFonts w:ascii="Sylfaen" w:hAnsi="Sylfaen"/>
          <w:sz w:val="24"/>
          <w:lang w:val="fr-FR"/>
        </w:rPr>
        <w:t xml:space="preserve"> </w:t>
      </w:r>
      <w:r w:rsidR="001D2702" w:rsidRPr="00855FDC">
        <w:rPr>
          <w:rFonts w:ascii="Sylfaen" w:hAnsi="Sylfaen"/>
          <w:sz w:val="24"/>
        </w:rPr>
        <w:t>գրավոր</w:t>
      </w:r>
      <w:r w:rsidR="001D2702" w:rsidRPr="00AB7FB9">
        <w:rPr>
          <w:rFonts w:ascii="Sylfaen" w:hAnsi="Sylfaen"/>
          <w:sz w:val="24"/>
          <w:lang w:val="fr-FR"/>
        </w:rPr>
        <w:t xml:space="preserve"> </w:t>
      </w:r>
      <w:r w:rsidR="001D2702" w:rsidRPr="00855FDC">
        <w:rPr>
          <w:rFonts w:ascii="Sylfaen" w:hAnsi="Sylfaen"/>
          <w:sz w:val="24"/>
        </w:rPr>
        <w:t>ցուցմունքն</w:t>
      </w:r>
      <w:r w:rsidR="001D2702" w:rsidRPr="00AB7FB9">
        <w:rPr>
          <w:rFonts w:ascii="Sylfaen" w:hAnsi="Sylfaen"/>
          <w:sz w:val="24"/>
          <w:lang w:val="fr-FR"/>
        </w:rPr>
        <w:t xml:space="preserve"> </w:t>
      </w:r>
      <w:r w:rsidR="001D2702" w:rsidRPr="00855FDC">
        <w:rPr>
          <w:rFonts w:ascii="Sylfaen" w:hAnsi="Sylfaen"/>
          <w:sz w:val="24"/>
        </w:rPr>
        <w:t>ընդունել</w:t>
      </w:r>
      <w:r w:rsidR="001D2702" w:rsidRPr="00AB7FB9">
        <w:rPr>
          <w:rFonts w:ascii="Sylfaen" w:hAnsi="Sylfaen"/>
          <w:sz w:val="24"/>
          <w:lang w:val="fr-FR"/>
        </w:rPr>
        <w:t xml:space="preserve"> </w:t>
      </w:r>
      <w:r w:rsidR="001D2702" w:rsidRPr="00855FDC">
        <w:rPr>
          <w:rFonts w:ascii="Sylfaen" w:hAnsi="Sylfaen"/>
          <w:sz w:val="24"/>
        </w:rPr>
        <w:t>է</w:t>
      </w:r>
      <w:r w:rsidR="001D2702" w:rsidRPr="00AB7FB9">
        <w:rPr>
          <w:rFonts w:ascii="Sylfaen" w:hAnsi="Sylfaen"/>
          <w:sz w:val="24"/>
          <w:lang w:val="fr-FR"/>
        </w:rPr>
        <w:t xml:space="preserve"> </w:t>
      </w:r>
      <w:r w:rsidR="001D2702" w:rsidRPr="00855FDC">
        <w:rPr>
          <w:rFonts w:ascii="Sylfaen" w:hAnsi="Sylfaen"/>
          <w:sz w:val="24"/>
        </w:rPr>
        <w:t>որպես</w:t>
      </w:r>
      <w:r w:rsidR="001D2702" w:rsidRPr="00AB7FB9">
        <w:rPr>
          <w:rFonts w:ascii="Sylfaen" w:hAnsi="Sylfaen"/>
          <w:sz w:val="24"/>
          <w:lang w:val="fr-FR"/>
        </w:rPr>
        <w:t xml:space="preserve"> </w:t>
      </w:r>
      <w:r w:rsidR="001D2702" w:rsidRPr="00855FDC">
        <w:rPr>
          <w:rFonts w:ascii="Sylfaen" w:hAnsi="Sylfaen"/>
          <w:sz w:val="24"/>
        </w:rPr>
        <w:t>ապացույց</w:t>
      </w:r>
      <w:r w:rsidR="001D2702" w:rsidRPr="00AB7FB9">
        <w:rPr>
          <w:rFonts w:ascii="Sylfaen" w:hAnsi="Sylfaen"/>
          <w:sz w:val="24"/>
          <w:lang w:val="fr-FR"/>
        </w:rPr>
        <w:t xml:space="preserve">: </w:t>
      </w:r>
      <w:r w:rsidR="00F53584" w:rsidRPr="00855FDC">
        <w:rPr>
          <w:rFonts w:ascii="Sylfaen" w:hAnsi="Sylfaen"/>
          <w:sz w:val="24"/>
        </w:rPr>
        <w:t>Գրավոր</w:t>
      </w:r>
      <w:r w:rsidR="00F53584" w:rsidRPr="00AB7FB9">
        <w:rPr>
          <w:rFonts w:ascii="Sylfaen" w:hAnsi="Sylfaen"/>
          <w:sz w:val="24"/>
          <w:lang w:val="fr-FR"/>
        </w:rPr>
        <w:t xml:space="preserve"> </w:t>
      </w:r>
      <w:r w:rsidR="00F53584" w:rsidRPr="00855FDC">
        <w:rPr>
          <w:rFonts w:ascii="Sylfaen" w:hAnsi="Sylfaen"/>
          <w:sz w:val="24"/>
        </w:rPr>
        <w:t>ցուցմունքը</w:t>
      </w:r>
      <w:r w:rsidR="00F53584" w:rsidRPr="00AB7FB9">
        <w:rPr>
          <w:rFonts w:ascii="Sylfaen" w:hAnsi="Sylfaen"/>
          <w:sz w:val="24"/>
          <w:lang w:val="fr-FR"/>
        </w:rPr>
        <w:t xml:space="preserve"> </w:t>
      </w:r>
      <w:r w:rsidR="00F53584" w:rsidRPr="00855FDC">
        <w:rPr>
          <w:rFonts w:ascii="Sylfaen" w:hAnsi="Sylfaen"/>
          <w:sz w:val="24"/>
        </w:rPr>
        <w:t>հիմք</w:t>
      </w:r>
      <w:r w:rsidR="00F53584" w:rsidRPr="00AB7FB9">
        <w:rPr>
          <w:rFonts w:ascii="Sylfaen" w:hAnsi="Sylfaen"/>
          <w:sz w:val="24"/>
          <w:lang w:val="fr-FR"/>
        </w:rPr>
        <w:t xml:space="preserve"> </w:t>
      </w:r>
      <w:r w:rsidR="00F53584" w:rsidRPr="00855FDC">
        <w:rPr>
          <w:rFonts w:ascii="Sylfaen" w:hAnsi="Sylfaen"/>
          <w:sz w:val="24"/>
        </w:rPr>
        <w:t>ընդունելով</w:t>
      </w:r>
      <w:r w:rsidR="00F53584" w:rsidRPr="00AB7FB9">
        <w:rPr>
          <w:rFonts w:ascii="Sylfaen" w:hAnsi="Sylfaen"/>
          <w:sz w:val="24"/>
          <w:lang w:val="fr-FR"/>
        </w:rPr>
        <w:t xml:space="preserve">` </w:t>
      </w:r>
      <w:r w:rsidR="001E0BC7" w:rsidRPr="00AB7FB9">
        <w:rPr>
          <w:rFonts w:ascii="Sylfaen" w:hAnsi="Sylfaen"/>
          <w:sz w:val="24"/>
          <w:lang w:val="fr-FR"/>
        </w:rPr>
        <w:t>McDonald</w:t>
      </w:r>
      <w:r w:rsidR="00133BF3" w:rsidRPr="00AB7FB9">
        <w:rPr>
          <w:rFonts w:ascii="Sylfaen" w:hAnsi="Sylfaen"/>
          <w:sz w:val="24"/>
          <w:lang w:val="fr-FR"/>
        </w:rPr>
        <w:t>’</w:t>
      </w:r>
      <w:r w:rsidR="001E0BC7" w:rsidRPr="00AB7FB9">
        <w:rPr>
          <w:rFonts w:ascii="Sylfaen" w:hAnsi="Sylfaen"/>
          <w:sz w:val="24"/>
          <w:lang w:val="fr-FR"/>
        </w:rPr>
        <w:t>s-</w:t>
      </w:r>
      <w:r w:rsidR="001E0BC7" w:rsidRPr="00855FDC">
        <w:rPr>
          <w:rFonts w:ascii="Sylfaen" w:hAnsi="Sylfaen"/>
          <w:sz w:val="24"/>
        </w:rPr>
        <w:t>ին</w:t>
      </w:r>
      <w:r w:rsidR="001E0BC7" w:rsidRPr="00AB7FB9">
        <w:rPr>
          <w:rFonts w:ascii="Sylfaen" w:hAnsi="Sylfaen"/>
          <w:sz w:val="24"/>
          <w:lang w:val="fr-FR"/>
        </w:rPr>
        <w:t xml:space="preserve"> </w:t>
      </w:r>
      <w:r w:rsidR="001E0BC7" w:rsidRPr="00855FDC">
        <w:rPr>
          <w:rFonts w:ascii="Sylfaen" w:hAnsi="Sylfaen"/>
          <w:sz w:val="24"/>
        </w:rPr>
        <w:t>թույլ</w:t>
      </w:r>
      <w:r w:rsidR="001E0BC7" w:rsidRPr="00AB7FB9">
        <w:rPr>
          <w:rFonts w:ascii="Sylfaen" w:hAnsi="Sylfaen"/>
          <w:sz w:val="24"/>
          <w:lang w:val="fr-FR"/>
        </w:rPr>
        <w:t xml:space="preserve"> </w:t>
      </w:r>
      <w:r w:rsidR="001E0BC7" w:rsidRPr="00855FDC">
        <w:rPr>
          <w:rFonts w:ascii="Sylfaen" w:hAnsi="Sylfaen"/>
          <w:sz w:val="24"/>
        </w:rPr>
        <w:t>տրվեց</w:t>
      </w:r>
      <w:r w:rsidR="001E0BC7" w:rsidRPr="00AB7FB9">
        <w:rPr>
          <w:rFonts w:ascii="Sylfaen" w:hAnsi="Sylfaen"/>
          <w:sz w:val="24"/>
          <w:lang w:val="fr-FR"/>
        </w:rPr>
        <w:t xml:space="preserve"> </w:t>
      </w:r>
      <w:r w:rsidR="002C06DC" w:rsidRPr="00855FDC">
        <w:rPr>
          <w:rFonts w:ascii="Sylfaen" w:hAnsi="Sylfaen"/>
          <w:sz w:val="24"/>
        </w:rPr>
        <w:t>դատավարության</w:t>
      </w:r>
      <w:r w:rsidR="002C06DC" w:rsidRPr="00AB7FB9">
        <w:rPr>
          <w:rFonts w:ascii="Sylfaen" w:hAnsi="Sylfaen"/>
          <w:sz w:val="24"/>
          <w:lang w:val="fr-FR"/>
        </w:rPr>
        <w:t xml:space="preserve"> </w:t>
      </w:r>
      <w:r w:rsidR="002C06DC" w:rsidRPr="00855FDC">
        <w:rPr>
          <w:rFonts w:ascii="Sylfaen" w:hAnsi="Sylfaen"/>
          <w:sz w:val="24"/>
        </w:rPr>
        <w:t>ավելի</w:t>
      </w:r>
      <w:r w:rsidR="002C06DC" w:rsidRPr="00AB7FB9">
        <w:rPr>
          <w:rFonts w:ascii="Sylfaen" w:hAnsi="Sylfaen"/>
          <w:sz w:val="24"/>
          <w:lang w:val="fr-FR"/>
        </w:rPr>
        <w:t xml:space="preserve"> </w:t>
      </w:r>
      <w:r w:rsidR="002C06DC" w:rsidRPr="00855FDC">
        <w:rPr>
          <w:rFonts w:ascii="Sylfaen" w:hAnsi="Sylfaen"/>
          <w:sz w:val="24"/>
        </w:rPr>
        <w:t>ուշ</w:t>
      </w:r>
      <w:r w:rsidR="002C06DC" w:rsidRPr="00AB7FB9">
        <w:rPr>
          <w:rFonts w:ascii="Sylfaen" w:hAnsi="Sylfaen"/>
          <w:sz w:val="24"/>
          <w:lang w:val="fr-FR"/>
        </w:rPr>
        <w:t xml:space="preserve"> </w:t>
      </w:r>
      <w:r w:rsidR="002C06DC" w:rsidRPr="00855FDC">
        <w:rPr>
          <w:rFonts w:ascii="Sylfaen" w:hAnsi="Sylfaen"/>
          <w:sz w:val="24"/>
        </w:rPr>
        <w:t>փուլում</w:t>
      </w:r>
      <w:r w:rsidR="002C06DC" w:rsidRPr="00AB7FB9">
        <w:rPr>
          <w:rFonts w:ascii="Sylfaen" w:hAnsi="Sylfaen"/>
          <w:sz w:val="24"/>
          <w:lang w:val="fr-FR"/>
        </w:rPr>
        <w:t xml:space="preserve"> </w:t>
      </w:r>
      <w:r w:rsidR="001E0BC7" w:rsidRPr="00855FDC">
        <w:rPr>
          <w:rFonts w:ascii="Sylfaen" w:hAnsi="Sylfaen"/>
          <w:sz w:val="24"/>
        </w:rPr>
        <w:t>փոխելու</w:t>
      </w:r>
      <w:r w:rsidR="001E0BC7" w:rsidRPr="00AB7FB9">
        <w:rPr>
          <w:rFonts w:ascii="Sylfaen" w:hAnsi="Sylfaen"/>
          <w:sz w:val="24"/>
          <w:lang w:val="fr-FR"/>
        </w:rPr>
        <w:t xml:space="preserve"> </w:t>
      </w:r>
      <w:r w:rsidR="002C06DC" w:rsidRPr="00855FDC">
        <w:rPr>
          <w:rFonts w:ascii="Sylfaen" w:hAnsi="Sylfaen"/>
          <w:sz w:val="24"/>
        </w:rPr>
        <w:t>իր</w:t>
      </w:r>
      <w:r w:rsidR="00943EE5" w:rsidRPr="00855FDC">
        <w:rPr>
          <w:rFonts w:ascii="Sylfaen" w:hAnsi="Sylfaen"/>
          <w:sz w:val="24"/>
        </w:rPr>
        <w:t>ենց</w:t>
      </w:r>
      <w:r w:rsidR="00943EE5" w:rsidRPr="00AB7FB9">
        <w:rPr>
          <w:rFonts w:ascii="Sylfaen" w:hAnsi="Sylfaen"/>
          <w:sz w:val="24"/>
          <w:lang w:val="fr-FR"/>
        </w:rPr>
        <w:t xml:space="preserve"> </w:t>
      </w:r>
      <w:r w:rsidR="00943EE5" w:rsidRPr="00855FDC">
        <w:rPr>
          <w:rFonts w:ascii="Sylfaen" w:hAnsi="Sylfaen"/>
          <w:sz w:val="24"/>
        </w:rPr>
        <w:t>հայցը</w:t>
      </w:r>
      <w:r w:rsidR="001E0BC7" w:rsidRPr="00AB7FB9">
        <w:rPr>
          <w:rFonts w:ascii="Sylfaen" w:hAnsi="Sylfaen"/>
          <w:sz w:val="24"/>
          <w:lang w:val="fr-FR"/>
        </w:rPr>
        <w:t xml:space="preserve">: </w:t>
      </w:r>
      <w:r w:rsidR="00943EE5" w:rsidRPr="00855FDC">
        <w:rPr>
          <w:rFonts w:ascii="Sylfaen" w:hAnsi="Sylfaen"/>
          <w:sz w:val="24"/>
        </w:rPr>
        <w:t>Դիմումատուներ</w:t>
      </w:r>
      <w:r w:rsidR="00340BFC" w:rsidRPr="00855FDC">
        <w:rPr>
          <w:rFonts w:ascii="Sylfaen" w:hAnsi="Sylfaen"/>
          <w:sz w:val="24"/>
        </w:rPr>
        <w:t>ը</w:t>
      </w:r>
      <w:r w:rsidR="00340BFC" w:rsidRPr="00AB7FB9">
        <w:rPr>
          <w:rFonts w:ascii="Sylfaen" w:hAnsi="Sylfaen"/>
          <w:sz w:val="24"/>
          <w:lang w:val="fr-FR"/>
        </w:rPr>
        <w:t xml:space="preserve"> </w:t>
      </w:r>
      <w:r w:rsidR="00340BFC" w:rsidRPr="00855FDC">
        <w:rPr>
          <w:rFonts w:ascii="Sylfaen" w:hAnsi="Sylfaen"/>
          <w:sz w:val="24"/>
        </w:rPr>
        <w:t>տեղեկատվական</w:t>
      </w:r>
      <w:r w:rsidR="00340BFC" w:rsidRPr="00AB7FB9">
        <w:rPr>
          <w:rFonts w:ascii="Sylfaen" w:hAnsi="Sylfaen"/>
          <w:sz w:val="24"/>
          <w:lang w:val="fr-FR"/>
        </w:rPr>
        <w:t xml:space="preserve"> </w:t>
      </w:r>
      <w:r w:rsidR="00340BFC" w:rsidRPr="00855FDC">
        <w:rPr>
          <w:rFonts w:ascii="Sylfaen" w:hAnsi="Sylfaen"/>
          <w:sz w:val="24"/>
        </w:rPr>
        <w:t>թերթ</w:t>
      </w:r>
      <w:r w:rsidR="00943EE5" w:rsidRPr="00855FDC">
        <w:rPr>
          <w:rFonts w:ascii="Sylfaen" w:hAnsi="Sylfaen"/>
          <w:sz w:val="24"/>
        </w:rPr>
        <w:t>իկի</w:t>
      </w:r>
      <w:r w:rsidR="00943EE5" w:rsidRPr="00AB7FB9">
        <w:rPr>
          <w:rFonts w:ascii="Sylfaen" w:hAnsi="Sylfaen"/>
          <w:sz w:val="24"/>
          <w:lang w:val="fr-FR"/>
        </w:rPr>
        <w:t xml:space="preserve"> </w:t>
      </w:r>
      <w:r w:rsidR="00340BFC" w:rsidRPr="00855FDC">
        <w:rPr>
          <w:rFonts w:ascii="Sylfaen" w:hAnsi="Sylfaen"/>
          <w:sz w:val="24"/>
        </w:rPr>
        <w:t>հրապարակման</w:t>
      </w:r>
      <w:r w:rsidR="00340BFC" w:rsidRPr="00AB7FB9">
        <w:rPr>
          <w:rFonts w:ascii="Sylfaen" w:hAnsi="Sylfaen"/>
          <w:sz w:val="24"/>
          <w:lang w:val="fr-FR"/>
        </w:rPr>
        <w:t xml:space="preserve"> </w:t>
      </w:r>
      <w:r w:rsidR="00340BFC" w:rsidRPr="00855FDC">
        <w:rPr>
          <w:rFonts w:ascii="Sylfaen" w:hAnsi="Sylfaen"/>
          <w:sz w:val="24"/>
        </w:rPr>
        <w:t>համար</w:t>
      </w:r>
      <w:r w:rsidR="00340BFC" w:rsidRPr="00AB7FB9">
        <w:rPr>
          <w:rFonts w:ascii="Sylfaen" w:hAnsi="Sylfaen"/>
          <w:sz w:val="24"/>
          <w:lang w:val="fr-FR"/>
        </w:rPr>
        <w:t xml:space="preserve"> </w:t>
      </w:r>
      <w:r w:rsidR="00340BFC" w:rsidRPr="00855FDC">
        <w:rPr>
          <w:rFonts w:ascii="Sylfaen" w:hAnsi="Sylfaen"/>
          <w:sz w:val="24"/>
        </w:rPr>
        <w:t>ենթարկվեցին</w:t>
      </w:r>
      <w:r w:rsidR="00340BFC" w:rsidRPr="00AB7FB9">
        <w:rPr>
          <w:rFonts w:ascii="Sylfaen" w:hAnsi="Sylfaen"/>
          <w:sz w:val="24"/>
          <w:lang w:val="fr-FR"/>
        </w:rPr>
        <w:t xml:space="preserve"> </w:t>
      </w:r>
      <w:r w:rsidR="00340BFC" w:rsidRPr="00855FDC">
        <w:rPr>
          <w:rFonts w:ascii="Sylfaen" w:hAnsi="Sylfaen"/>
          <w:sz w:val="24"/>
        </w:rPr>
        <w:t>պատասխանատվության</w:t>
      </w:r>
      <w:r w:rsidR="002C06DC" w:rsidRPr="00AB7FB9">
        <w:rPr>
          <w:rFonts w:ascii="Sylfaen" w:hAnsi="Sylfaen"/>
          <w:sz w:val="24"/>
          <w:lang w:val="fr-FR"/>
        </w:rPr>
        <w:t>.</w:t>
      </w:r>
      <w:r w:rsidR="00340BFC" w:rsidRPr="00AB7FB9">
        <w:rPr>
          <w:rFonts w:ascii="Sylfaen" w:hAnsi="Sylfaen"/>
          <w:sz w:val="24"/>
          <w:lang w:val="fr-FR"/>
        </w:rPr>
        <w:t xml:space="preserve"> </w:t>
      </w:r>
      <w:proofErr w:type="gramStart"/>
      <w:r w:rsidR="00340BFC" w:rsidRPr="00855FDC">
        <w:rPr>
          <w:rFonts w:ascii="Sylfaen" w:hAnsi="Sylfaen"/>
          <w:sz w:val="24"/>
        </w:rPr>
        <w:t>համար</w:t>
      </w:r>
      <w:r w:rsidR="002C06DC" w:rsidRPr="00855FDC">
        <w:rPr>
          <w:rFonts w:ascii="Sylfaen" w:hAnsi="Sylfaen"/>
          <w:sz w:val="24"/>
        </w:rPr>
        <w:t>վեց</w:t>
      </w:r>
      <w:proofErr w:type="gramEnd"/>
      <w:r w:rsidR="00340BFC" w:rsidRPr="00AB7FB9">
        <w:rPr>
          <w:rFonts w:ascii="Sylfaen" w:hAnsi="Sylfaen"/>
          <w:sz w:val="24"/>
          <w:lang w:val="fr-FR"/>
        </w:rPr>
        <w:t xml:space="preserve">, </w:t>
      </w:r>
      <w:r w:rsidR="00340BFC" w:rsidRPr="00855FDC">
        <w:rPr>
          <w:rFonts w:ascii="Sylfaen" w:hAnsi="Sylfaen"/>
          <w:sz w:val="24"/>
        </w:rPr>
        <w:t>որ</w:t>
      </w:r>
      <w:r w:rsidR="00340BFC" w:rsidRPr="00AB7FB9">
        <w:rPr>
          <w:rFonts w:ascii="Sylfaen" w:hAnsi="Sylfaen"/>
          <w:sz w:val="24"/>
          <w:lang w:val="fr-FR"/>
        </w:rPr>
        <w:t xml:space="preserve"> </w:t>
      </w:r>
      <w:r w:rsidR="00340BFC" w:rsidRPr="00855FDC">
        <w:rPr>
          <w:rFonts w:ascii="Sylfaen" w:hAnsi="Sylfaen"/>
          <w:sz w:val="24"/>
        </w:rPr>
        <w:t>այնտեղ</w:t>
      </w:r>
      <w:r w:rsidR="00340BFC" w:rsidRPr="00AB7FB9">
        <w:rPr>
          <w:rFonts w:ascii="Sylfaen" w:hAnsi="Sylfaen"/>
          <w:sz w:val="24"/>
          <w:lang w:val="fr-FR"/>
        </w:rPr>
        <w:t xml:space="preserve"> </w:t>
      </w:r>
      <w:r w:rsidR="00340BFC" w:rsidRPr="00855FDC">
        <w:rPr>
          <w:rFonts w:ascii="Sylfaen" w:hAnsi="Sylfaen"/>
          <w:sz w:val="24"/>
        </w:rPr>
        <w:t>առկա</w:t>
      </w:r>
      <w:r w:rsidR="00340BFC" w:rsidRPr="00AB7FB9">
        <w:rPr>
          <w:rFonts w:ascii="Sylfaen" w:hAnsi="Sylfaen"/>
          <w:sz w:val="24"/>
          <w:lang w:val="fr-FR"/>
        </w:rPr>
        <w:t xml:space="preserve"> </w:t>
      </w:r>
      <w:r w:rsidR="00340BFC" w:rsidRPr="00855FDC">
        <w:rPr>
          <w:rFonts w:ascii="Sylfaen" w:hAnsi="Sylfaen"/>
          <w:sz w:val="24"/>
        </w:rPr>
        <w:t>տեղեկատվության</w:t>
      </w:r>
      <w:r w:rsidR="00340BFC" w:rsidRPr="00AB7FB9">
        <w:rPr>
          <w:rFonts w:ascii="Sylfaen" w:hAnsi="Sylfaen"/>
          <w:sz w:val="24"/>
          <w:lang w:val="fr-FR"/>
        </w:rPr>
        <w:t xml:space="preserve"> </w:t>
      </w:r>
      <w:r w:rsidR="00340BFC" w:rsidRPr="00855FDC">
        <w:rPr>
          <w:rFonts w:ascii="Sylfaen" w:hAnsi="Sylfaen"/>
          <w:sz w:val="24"/>
        </w:rPr>
        <w:t>մի</w:t>
      </w:r>
      <w:r w:rsidR="00340BFC" w:rsidRPr="00AB7FB9">
        <w:rPr>
          <w:rFonts w:ascii="Sylfaen" w:hAnsi="Sylfaen"/>
          <w:sz w:val="24"/>
          <w:lang w:val="fr-FR"/>
        </w:rPr>
        <w:t xml:space="preserve"> </w:t>
      </w:r>
      <w:r w:rsidR="00340BFC" w:rsidRPr="00855FDC">
        <w:rPr>
          <w:rFonts w:ascii="Sylfaen" w:hAnsi="Sylfaen"/>
          <w:sz w:val="24"/>
        </w:rPr>
        <w:t>մասը</w:t>
      </w:r>
      <w:r w:rsidR="00340BFC" w:rsidRPr="00AB7FB9">
        <w:rPr>
          <w:rFonts w:ascii="Sylfaen" w:hAnsi="Sylfaen"/>
          <w:sz w:val="24"/>
          <w:lang w:val="fr-FR"/>
        </w:rPr>
        <w:t xml:space="preserve"> </w:t>
      </w:r>
      <w:r w:rsidR="00340BFC" w:rsidRPr="00855FDC">
        <w:rPr>
          <w:rFonts w:ascii="Sylfaen" w:hAnsi="Sylfaen"/>
          <w:sz w:val="24"/>
        </w:rPr>
        <w:t>իրականությանը</w:t>
      </w:r>
      <w:r w:rsidR="00340BFC" w:rsidRPr="00AB7FB9">
        <w:rPr>
          <w:rFonts w:ascii="Sylfaen" w:hAnsi="Sylfaen"/>
          <w:sz w:val="24"/>
          <w:lang w:val="fr-FR"/>
        </w:rPr>
        <w:t xml:space="preserve"> </w:t>
      </w:r>
      <w:r w:rsidR="00340BFC" w:rsidRPr="00855FDC">
        <w:rPr>
          <w:rFonts w:ascii="Sylfaen" w:hAnsi="Sylfaen"/>
          <w:sz w:val="24"/>
        </w:rPr>
        <w:t>չի</w:t>
      </w:r>
      <w:r w:rsidR="00340BFC" w:rsidRPr="00AB7FB9">
        <w:rPr>
          <w:rFonts w:ascii="Sylfaen" w:hAnsi="Sylfaen"/>
          <w:sz w:val="24"/>
          <w:lang w:val="fr-FR"/>
        </w:rPr>
        <w:t xml:space="preserve"> </w:t>
      </w:r>
      <w:r w:rsidR="00340BFC" w:rsidRPr="00855FDC">
        <w:rPr>
          <w:rFonts w:ascii="Sylfaen" w:hAnsi="Sylfaen"/>
          <w:sz w:val="24"/>
        </w:rPr>
        <w:t>համապատասխանում</w:t>
      </w:r>
      <w:r w:rsidR="00CA494D" w:rsidRPr="00AB7FB9">
        <w:rPr>
          <w:rFonts w:ascii="Sylfaen" w:hAnsi="Sylfaen"/>
          <w:sz w:val="24"/>
          <w:lang w:val="fr-FR"/>
        </w:rPr>
        <w:t xml:space="preserve">, </w:t>
      </w:r>
      <w:r w:rsidR="00CA494D" w:rsidRPr="00855FDC">
        <w:rPr>
          <w:rFonts w:ascii="Sylfaen" w:hAnsi="Sylfaen"/>
          <w:sz w:val="24"/>
        </w:rPr>
        <w:t>իսկ</w:t>
      </w:r>
      <w:r w:rsidR="00CA494D" w:rsidRPr="00AB7FB9">
        <w:rPr>
          <w:rFonts w:ascii="Sylfaen" w:hAnsi="Sylfaen"/>
          <w:sz w:val="24"/>
          <w:lang w:val="fr-FR"/>
        </w:rPr>
        <w:t xml:space="preserve"> </w:t>
      </w:r>
      <w:r w:rsidR="00CA494D" w:rsidRPr="00855FDC">
        <w:rPr>
          <w:rFonts w:ascii="Sylfaen" w:hAnsi="Sylfaen"/>
          <w:sz w:val="24"/>
        </w:rPr>
        <w:t>մյուս</w:t>
      </w:r>
      <w:r w:rsidR="00CA494D" w:rsidRPr="00AB7FB9">
        <w:rPr>
          <w:rFonts w:ascii="Sylfaen" w:hAnsi="Sylfaen"/>
          <w:sz w:val="24"/>
          <w:lang w:val="fr-FR"/>
        </w:rPr>
        <w:t xml:space="preserve"> </w:t>
      </w:r>
      <w:r w:rsidR="00CA494D" w:rsidRPr="00855FDC">
        <w:rPr>
          <w:rFonts w:ascii="Sylfaen" w:hAnsi="Sylfaen"/>
          <w:sz w:val="24"/>
        </w:rPr>
        <w:t>մասը</w:t>
      </w:r>
      <w:r w:rsidR="00CA494D" w:rsidRPr="00AB7FB9">
        <w:rPr>
          <w:rFonts w:ascii="Sylfaen" w:hAnsi="Sylfaen"/>
          <w:sz w:val="24"/>
          <w:lang w:val="fr-FR"/>
        </w:rPr>
        <w:t xml:space="preserve"> </w:t>
      </w:r>
      <w:r w:rsidR="00CA494D" w:rsidRPr="00855FDC">
        <w:rPr>
          <w:rFonts w:ascii="Sylfaen" w:hAnsi="Sylfaen"/>
          <w:sz w:val="24"/>
        </w:rPr>
        <w:t>հիմնավորված</w:t>
      </w:r>
      <w:r w:rsidR="00CA494D" w:rsidRPr="00AB7FB9">
        <w:rPr>
          <w:rFonts w:ascii="Sylfaen" w:hAnsi="Sylfaen"/>
          <w:sz w:val="24"/>
          <w:lang w:val="fr-FR"/>
        </w:rPr>
        <w:t xml:space="preserve"> </w:t>
      </w:r>
      <w:r w:rsidR="00340BFC" w:rsidRPr="00855FDC">
        <w:rPr>
          <w:rFonts w:ascii="Sylfaen" w:hAnsi="Sylfaen"/>
          <w:sz w:val="24"/>
        </w:rPr>
        <w:t>չէ</w:t>
      </w:r>
      <w:r w:rsidR="00340BFC" w:rsidRPr="00AB7FB9">
        <w:rPr>
          <w:rFonts w:ascii="Sylfaen" w:hAnsi="Sylfaen"/>
          <w:sz w:val="24"/>
          <w:lang w:val="fr-FR"/>
        </w:rPr>
        <w:t>:</w:t>
      </w:r>
      <w:r w:rsidR="00CA1B43" w:rsidRPr="00AB7FB9">
        <w:rPr>
          <w:rFonts w:ascii="Sylfaen" w:hAnsi="Sylfaen"/>
          <w:sz w:val="24"/>
          <w:lang w:val="fr-FR"/>
        </w:rPr>
        <w:t xml:space="preserve"> </w:t>
      </w:r>
      <w:r w:rsidR="006B7EE5" w:rsidRPr="00855FDC">
        <w:rPr>
          <w:rFonts w:ascii="Sylfaen" w:hAnsi="Sylfaen"/>
          <w:sz w:val="24"/>
        </w:rPr>
        <w:t>Դատավորը</w:t>
      </w:r>
      <w:r w:rsidR="006B7EE5" w:rsidRPr="00AB7FB9">
        <w:rPr>
          <w:rFonts w:ascii="Sylfaen" w:hAnsi="Sylfaen"/>
          <w:sz w:val="24"/>
          <w:lang w:val="fr-FR"/>
        </w:rPr>
        <w:t xml:space="preserve"> </w:t>
      </w:r>
      <w:r w:rsidR="006B7EE5" w:rsidRPr="00855FDC">
        <w:rPr>
          <w:rFonts w:ascii="Sylfaen" w:hAnsi="Sylfaen"/>
          <w:sz w:val="24"/>
        </w:rPr>
        <w:t>վնասի</w:t>
      </w:r>
      <w:r w:rsidR="00020621" w:rsidRPr="00AB7FB9">
        <w:rPr>
          <w:rFonts w:ascii="Sylfaen" w:hAnsi="Sylfaen"/>
          <w:sz w:val="24"/>
          <w:lang w:val="fr-FR"/>
        </w:rPr>
        <w:t xml:space="preserve"> </w:t>
      </w:r>
      <w:r w:rsidR="00020621" w:rsidRPr="00855FDC">
        <w:rPr>
          <w:rFonts w:ascii="Sylfaen" w:hAnsi="Sylfaen"/>
          <w:sz w:val="24"/>
        </w:rPr>
        <w:t>փոխհատուցման</w:t>
      </w:r>
      <w:r w:rsidR="00020621" w:rsidRPr="00AB7FB9">
        <w:rPr>
          <w:rFonts w:ascii="Sylfaen" w:hAnsi="Sylfaen"/>
          <w:sz w:val="24"/>
          <w:lang w:val="fr-FR"/>
        </w:rPr>
        <w:t xml:space="preserve"> </w:t>
      </w:r>
      <w:r w:rsidR="00020621" w:rsidRPr="00855FDC">
        <w:rPr>
          <w:rFonts w:ascii="Sylfaen" w:hAnsi="Sylfaen"/>
          <w:sz w:val="24"/>
        </w:rPr>
        <w:t>մասին</w:t>
      </w:r>
      <w:r w:rsidR="00020621" w:rsidRPr="00AB7FB9">
        <w:rPr>
          <w:rFonts w:ascii="Sylfaen" w:hAnsi="Sylfaen"/>
          <w:sz w:val="24"/>
          <w:lang w:val="fr-FR"/>
        </w:rPr>
        <w:t xml:space="preserve"> </w:t>
      </w:r>
      <w:r w:rsidR="003E0D48" w:rsidRPr="00855FDC">
        <w:rPr>
          <w:rFonts w:ascii="Sylfaen" w:hAnsi="Sylfaen"/>
          <w:sz w:val="24"/>
        </w:rPr>
        <w:lastRenderedPageBreak/>
        <w:t>վճիռ</w:t>
      </w:r>
      <w:r w:rsidR="00943EE5" w:rsidRPr="00855FDC">
        <w:rPr>
          <w:rFonts w:ascii="Sylfaen" w:hAnsi="Sylfaen"/>
          <w:sz w:val="24"/>
        </w:rPr>
        <w:t>ը</w:t>
      </w:r>
      <w:r w:rsidR="002C06DC" w:rsidRPr="00AB7FB9">
        <w:rPr>
          <w:rFonts w:ascii="Sylfaen" w:hAnsi="Sylfaen"/>
          <w:sz w:val="24"/>
          <w:lang w:val="fr-FR"/>
        </w:rPr>
        <w:t xml:space="preserve"> </w:t>
      </w:r>
      <w:r w:rsidR="002C06DC" w:rsidRPr="00855FDC">
        <w:rPr>
          <w:rFonts w:ascii="Sylfaen" w:hAnsi="Sylfaen"/>
          <w:sz w:val="24"/>
        </w:rPr>
        <w:t>կայացրե</w:t>
      </w:r>
      <w:r w:rsidR="00943EE5" w:rsidRPr="00855FDC">
        <w:rPr>
          <w:rFonts w:ascii="Sylfaen" w:hAnsi="Sylfaen"/>
          <w:sz w:val="24"/>
        </w:rPr>
        <w:t>ց</w:t>
      </w:r>
      <w:r w:rsidR="002C06DC" w:rsidRPr="00AB7FB9">
        <w:rPr>
          <w:rFonts w:ascii="Sylfaen" w:hAnsi="Sylfaen"/>
          <w:sz w:val="24"/>
          <w:lang w:val="fr-FR"/>
        </w:rPr>
        <w:t xml:space="preserve"> </w:t>
      </w:r>
      <w:r w:rsidR="002C06DC" w:rsidRPr="00855FDC">
        <w:rPr>
          <w:rFonts w:ascii="Sylfaen" w:hAnsi="Sylfaen"/>
          <w:sz w:val="24"/>
        </w:rPr>
        <w:t>ի</w:t>
      </w:r>
      <w:r w:rsidR="002C06DC" w:rsidRPr="00AB7FB9">
        <w:rPr>
          <w:rFonts w:ascii="Sylfaen" w:hAnsi="Sylfaen"/>
          <w:sz w:val="24"/>
          <w:lang w:val="fr-FR"/>
        </w:rPr>
        <w:t xml:space="preserve"> </w:t>
      </w:r>
      <w:r w:rsidR="002C06DC" w:rsidRPr="00855FDC">
        <w:rPr>
          <w:rFonts w:ascii="Sylfaen" w:hAnsi="Sylfaen"/>
          <w:sz w:val="24"/>
        </w:rPr>
        <w:t>օգուտ</w:t>
      </w:r>
      <w:r w:rsidR="00CA1B43" w:rsidRPr="00AB7FB9">
        <w:rPr>
          <w:rFonts w:ascii="Sylfaen" w:hAnsi="Sylfaen"/>
          <w:sz w:val="24"/>
          <w:lang w:val="fr-FR"/>
        </w:rPr>
        <w:t xml:space="preserve"> </w:t>
      </w:r>
      <w:r w:rsidR="002C06DC" w:rsidRPr="00AB7FB9">
        <w:rPr>
          <w:rFonts w:ascii="Sylfaen" w:hAnsi="Sylfaen"/>
          <w:sz w:val="24"/>
          <w:lang w:val="fr-FR"/>
        </w:rPr>
        <w:t>McDonald</w:t>
      </w:r>
      <w:r w:rsidR="00133BF3" w:rsidRPr="00AB7FB9">
        <w:rPr>
          <w:rFonts w:ascii="Sylfaen" w:hAnsi="Sylfaen"/>
          <w:sz w:val="24"/>
          <w:lang w:val="fr-FR"/>
        </w:rPr>
        <w:t>’</w:t>
      </w:r>
      <w:r w:rsidR="002C06DC" w:rsidRPr="00AB7FB9">
        <w:rPr>
          <w:rFonts w:ascii="Sylfaen" w:hAnsi="Sylfaen"/>
          <w:sz w:val="24"/>
          <w:lang w:val="fr-FR"/>
        </w:rPr>
        <w:t>s-</w:t>
      </w:r>
      <w:r w:rsidR="002C06DC" w:rsidRPr="00855FDC">
        <w:rPr>
          <w:rFonts w:ascii="Sylfaen" w:hAnsi="Sylfaen"/>
          <w:sz w:val="24"/>
        </w:rPr>
        <w:t>ի</w:t>
      </w:r>
      <w:r w:rsidR="00020621" w:rsidRPr="00AB7FB9">
        <w:rPr>
          <w:rFonts w:ascii="Sylfaen" w:hAnsi="Sylfaen"/>
          <w:sz w:val="24"/>
          <w:lang w:val="fr-FR"/>
        </w:rPr>
        <w:t xml:space="preserve">: </w:t>
      </w:r>
      <w:r w:rsidR="00020621" w:rsidRPr="00855FDC">
        <w:rPr>
          <w:rFonts w:ascii="Sylfaen" w:hAnsi="Sylfaen"/>
          <w:sz w:val="24"/>
        </w:rPr>
        <w:t>Վերաքննիչ</w:t>
      </w:r>
      <w:r w:rsidR="00020621" w:rsidRPr="00AB7FB9">
        <w:rPr>
          <w:rFonts w:ascii="Sylfaen" w:hAnsi="Sylfaen"/>
          <w:sz w:val="24"/>
          <w:lang w:val="fr-FR"/>
        </w:rPr>
        <w:t xml:space="preserve"> </w:t>
      </w:r>
      <w:r w:rsidR="00020621" w:rsidRPr="00855FDC">
        <w:rPr>
          <w:rFonts w:ascii="Sylfaen" w:hAnsi="Sylfaen"/>
          <w:sz w:val="24"/>
        </w:rPr>
        <w:t>դատարանի</w:t>
      </w:r>
      <w:r w:rsidR="00020621" w:rsidRPr="00AB7FB9">
        <w:rPr>
          <w:rFonts w:ascii="Sylfaen" w:hAnsi="Sylfaen"/>
          <w:sz w:val="24"/>
          <w:lang w:val="fr-FR"/>
        </w:rPr>
        <w:t xml:space="preserve"> </w:t>
      </w:r>
      <w:r w:rsidR="00020621" w:rsidRPr="00855FDC">
        <w:rPr>
          <w:rFonts w:ascii="Sylfaen" w:hAnsi="Sylfaen"/>
          <w:sz w:val="24"/>
        </w:rPr>
        <w:t>առջև</w:t>
      </w:r>
      <w:r w:rsidR="00020621" w:rsidRPr="00AB7FB9">
        <w:rPr>
          <w:rFonts w:ascii="Sylfaen" w:hAnsi="Sylfaen"/>
          <w:sz w:val="24"/>
          <w:lang w:val="fr-FR"/>
        </w:rPr>
        <w:t xml:space="preserve"> </w:t>
      </w:r>
      <w:r w:rsidR="00020621" w:rsidRPr="00855FDC">
        <w:rPr>
          <w:rFonts w:ascii="Sylfaen" w:hAnsi="Sylfaen"/>
          <w:sz w:val="24"/>
        </w:rPr>
        <w:t>լսվող</w:t>
      </w:r>
      <w:r w:rsidR="00020621" w:rsidRPr="00AB7FB9">
        <w:rPr>
          <w:rFonts w:ascii="Sylfaen" w:hAnsi="Sylfaen"/>
          <w:sz w:val="24"/>
          <w:lang w:val="fr-FR"/>
        </w:rPr>
        <w:t xml:space="preserve"> </w:t>
      </w:r>
      <w:r w:rsidR="00020621" w:rsidRPr="00855FDC">
        <w:rPr>
          <w:rFonts w:ascii="Sylfaen" w:hAnsi="Sylfaen"/>
          <w:sz w:val="24"/>
        </w:rPr>
        <w:t>գործի</w:t>
      </w:r>
      <w:r w:rsidR="00020621" w:rsidRPr="00AB7FB9">
        <w:rPr>
          <w:rFonts w:ascii="Sylfaen" w:hAnsi="Sylfaen"/>
          <w:sz w:val="24"/>
          <w:lang w:val="fr-FR"/>
        </w:rPr>
        <w:t xml:space="preserve"> </w:t>
      </w:r>
      <w:r w:rsidR="00020621" w:rsidRPr="00855FDC">
        <w:rPr>
          <w:rFonts w:ascii="Sylfaen" w:hAnsi="Sylfaen"/>
          <w:sz w:val="24"/>
        </w:rPr>
        <w:t>վերաքննության</w:t>
      </w:r>
      <w:r w:rsidR="00020621" w:rsidRPr="00AB7FB9">
        <w:rPr>
          <w:rFonts w:ascii="Sylfaen" w:hAnsi="Sylfaen"/>
          <w:sz w:val="24"/>
          <w:lang w:val="fr-FR"/>
        </w:rPr>
        <w:t xml:space="preserve"> </w:t>
      </w:r>
      <w:r w:rsidR="00020621" w:rsidRPr="00855FDC">
        <w:rPr>
          <w:rFonts w:ascii="Sylfaen" w:hAnsi="Sylfaen"/>
          <w:sz w:val="24"/>
        </w:rPr>
        <w:t>ժամանակ</w:t>
      </w:r>
      <w:r w:rsidR="003E0D48" w:rsidRPr="00AB7FB9">
        <w:rPr>
          <w:rFonts w:ascii="Sylfaen" w:hAnsi="Sylfaen"/>
          <w:sz w:val="24"/>
          <w:lang w:val="fr-FR"/>
        </w:rPr>
        <w:t xml:space="preserve"> </w:t>
      </w:r>
      <w:r w:rsidR="003E0D48" w:rsidRPr="00855FDC">
        <w:rPr>
          <w:rFonts w:ascii="Sylfaen" w:hAnsi="Sylfaen"/>
          <w:sz w:val="24"/>
        </w:rPr>
        <w:t>տեղեկատվական</w:t>
      </w:r>
      <w:r w:rsidR="003E0D48" w:rsidRPr="00AB7FB9">
        <w:rPr>
          <w:rFonts w:ascii="Sylfaen" w:hAnsi="Sylfaen"/>
          <w:sz w:val="24"/>
          <w:lang w:val="fr-FR"/>
        </w:rPr>
        <w:t xml:space="preserve"> </w:t>
      </w:r>
      <w:r w:rsidR="003E0D48" w:rsidRPr="00855FDC">
        <w:rPr>
          <w:rFonts w:ascii="Sylfaen" w:hAnsi="Sylfaen"/>
          <w:sz w:val="24"/>
        </w:rPr>
        <w:t>թերթ</w:t>
      </w:r>
      <w:r w:rsidR="00943EE5" w:rsidRPr="00855FDC">
        <w:rPr>
          <w:rFonts w:ascii="Sylfaen" w:hAnsi="Sylfaen"/>
          <w:sz w:val="24"/>
        </w:rPr>
        <w:t>իկու</w:t>
      </w:r>
      <w:r w:rsidR="003E0D48" w:rsidRPr="00855FDC">
        <w:rPr>
          <w:rFonts w:ascii="Sylfaen" w:hAnsi="Sylfaen"/>
          <w:sz w:val="24"/>
        </w:rPr>
        <w:t>մ</w:t>
      </w:r>
      <w:r w:rsidR="00020621" w:rsidRPr="00AB7FB9">
        <w:rPr>
          <w:rFonts w:ascii="Sylfaen" w:hAnsi="Sylfaen"/>
          <w:sz w:val="24"/>
          <w:lang w:val="fr-FR"/>
        </w:rPr>
        <w:t xml:space="preserve"> </w:t>
      </w:r>
      <w:r w:rsidR="003E0D48" w:rsidRPr="00855FDC">
        <w:rPr>
          <w:rFonts w:ascii="Sylfaen" w:hAnsi="Sylfaen"/>
          <w:sz w:val="24"/>
        </w:rPr>
        <w:t>տեղ</w:t>
      </w:r>
      <w:r w:rsidR="003E0D48" w:rsidRPr="00AB7FB9">
        <w:rPr>
          <w:rFonts w:ascii="Sylfaen" w:hAnsi="Sylfaen"/>
          <w:sz w:val="24"/>
          <w:lang w:val="fr-FR"/>
        </w:rPr>
        <w:t xml:space="preserve"> </w:t>
      </w:r>
      <w:r w:rsidR="003E0D48" w:rsidRPr="00855FDC">
        <w:rPr>
          <w:rFonts w:ascii="Sylfaen" w:hAnsi="Sylfaen"/>
          <w:sz w:val="24"/>
        </w:rPr>
        <w:t>գտած</w:t>
      </w:r>
      <w:r w:rsidR="003E0D48" w:rsidRPr="00AB7FB9">
        <w:rPr>
          <w:rFonts w:ascii="Sylfaen" w:hAnsi="Sylfaen"/>
          <w:sz w:val="24"/>
          <w:lang w:val="fr-FR"/>
        </w:rPr>
        <w:t xml:space="preserve"> </w:t>
      </w:r>
      <w:r w:rsidR="003E0D48" w:rsidRPr="00855FDC">
        <w:rPr>
          <w:rFonts w:ascii="Sylfaen" w:hAnsi="Sylfaen"/>
          <w:sz w:val="24"/>
        </w:rPr>
        <w:t>որոշ</w:t>
      </w:r>
      <w:r w:rsidR="003E0D48" w:rsidRPr="00AB7FB9">
        <w:rPr>
          <w:rFonts w:ascii="Sylfaen" w:hAnsi="Sylfaen"/>
          <w:sz w:val="24"/>
          <w:lang w:val="fr-FR"/>
        </w:rPr>
        <w:t xml:space="preserve"> </w:t>
      </w:r>
      <w:r w:rsidR="003E0D48" w:rsidRPr="00855FDC">
        <w:rPr>
          <w:rFonts w:ascii="Sylfaen" w:hAnsi="Sylfaen"/>
          <w:sz w:val="24"/>
        </w:rPr>
        <w:t>վիճելի</w:t>
      </w:r>
      <w:r w:rsidR="003E0D48" w:rsidRPr="00AB7FB9">
        <w:rPr>
          <w:rFonts w:ascii="Sylfaen" w:hAnsi="Sylfaen"/>
          <w:sz w:val="24"/>
          <w:lang w:val="fr-FR"/>
        </w:rPr>
        <w:t xml:space="preserve"> </w:t>
      </w:r>
      <w:r w:rsidR="003E0D48" w:rsidRPr="00855FDC">
        <w:rPr>
          <w:rFonts w:ascii="Sylfaen" w:hAnsi="Sylfaen"/>
          <w:sz w:val="24"/>
        </w:rPr>
        <w:t>արտահայտություններ</w:t>
      </w:r>
      <w:r w:rsidR="003E0D48" w:rsidRPr="00AB7FB9">
        <w:rPr>
          <w:rFonts w:ascii="Sylfaen" w:hAnsi="Sylfaen"/>
          <w:sz w:val="24"/>
          <w:lang w:val="fr-FR"/>
        </w:rPr>
        <w:t xml:space="preserve"> </w:t>
      </w:r>
      <w:r w:rsidR="003E0D48" w:rsidRPr="00855FDC">
        <w:rPr>
          <w:rFonts w:ascii="Sylfaen" w:hAnsi="Sylfaen"/>
          <w:sz w:val="24"/>
        </w:rPr>
        <w:t>համարվեցին</w:t>
      </w:r>
      <w:r w:rsidR="003E0D48" w:rsidRPr="00AB7FB9">
        <w:rPr>
          <w:rFonts w:ascii="Sylfaen" w:hAnsi="Sylfaen"/>
          <w:sz w:val="24"/>
          <w:lang w:val="fr-FR"/>
        </w:rPr>
        <w:t xml:space="preserve"> </w:t>
      </w:r>
      <w:r w:rsidR="003E0D48" w:rsidRPr="00855FDC">
        <w:rPr>
          <w:rFonts w:ascii="Sylfaen" w:hAnsi="Sylfaen"/>
          <w:sz w:val="24"/>
        </w:rPr>
        <w:t>մեկնաբանություն</w:t>
      </w:r>
      <w:r w:rsidR="003E0D48" w:rsidRPr="00AB7FB9">
        <w:rPr>
          <w:rFonts w:ascii="Sylfaen" w:hAnsi="Sylfaen"/>
          <w:sz w:val="24"/>
          <w:lang w:val="fr-FR"/>
        </w:rPr>
        <w:t xml:space="preserve">, </w:t>
      </w:r>
      <w:r w:rsidR="003E0D48" w:rsidRPr="00855FDC">
        <w:rPr>
          <w:rFonts w:ascii="Sylfaen" w:hAnsi="Sylfaen"/>
          <w:sz w:val="24"/>
        </w:rPr>
        <w:t>իսկ</w:t>
      </w:r>
      <w:r w:rsidR="003E0D48" w:rsidRPr="00AB7FB9">
        <w:rPr>
          <w:rFonts w:ascii="Sylfaen" w:hAnsi="Sylfaen"/>
          <w:sz w:val="24"/>
          <w:lang w:val="fr-FR"/>
        </w:rPr>
        <w:t xml:space="preserve"> </w:t>
      </w:r>
      <w:r w:rsidR="00C05A4F" w:rsidRPr="00855FDC">
        <w:rPr>
          <w:rFonts w:ascii="Sylfaen" w:hAnsi="Sylfaen"/>
          <w:sz w:val="24"/>
        </w:rPr>
        <w:t>մի</w:t>
      </w:r>
      <w:r w:rsidR="00C05A4F" w:rsidRPr="00AB7FB9">
        <w:rPr>
          <w:rFonts w:ascii="Sylfaen" w:hAnsi="Sylfaen"/>
          <w:sz w:val="24"/>
          <w:lang w:val="fr-FR"/>
        </w:rPr>
        <w:t xml:space="preserve"> </w:t>
      </w:r>
      <w:r w:rsidR="00C05A4F" w:rsidRPr="00855FDC">
        <w:rPr>
          <w:rFonts w:ascii="Sylfaen" w:hAnsi="Sylfaen"/>
          <w:sz w:val="24"/>
        </w:rPr>
        <w:t>քանիսը</w:t>
      </w:r>
      <w:r w:rsidR="003E0D48" w:rsidRPr="00AB7FB9">
        <w:rPr>
          <w:rFonts w:ascii="Sylfaen" w:hAnsi="Sylfaen"/>
          <w:sz w:val="24"/>
          <w:lang w:val="fr-FR"/>
        </w:rPr>
        <w:t xml:space="preserve">` </w:t>
      </w:r>
      <w:r w:rsidR="003E0D48" w:rsidRPr="00855FDC">
        <w:rPr>
          <w:rFonts w:ascii="Sylfaen" w:hAnsi="Sylfaen"/>
          <w:sz w:val="24"/>
        </w:rPr>
        <w:t>հիմ</w:t>
      </w:r>
      <w:r w:rsidR="00943EE5" w:rsidRPr="00855FDC">
        <w:rPr>
          <w:rFonts w:ascii="Sylfaen" w:hAnsi="Sylfaen"/>
          <w:sz w:val="24"/>
        </w:rPr>
        <w:t>ն</w:t>
      </w:r>
      <w:r w:rsidR="003E0D48" w:rsidRPr="00855FDC">
        <w:rPr>
          <w:rFonts w:ascii="Sylfaen" w:hAnsi="Sylfaen"/>
          <w:sz w:val="24"/>
        </w:rPr>
        <w:t>ավոր</w:t>
      </w:r>
      <w:r w:rsidR="003E0D48" w:rsidRPr="00AB7FB9">
        <w:rPr>
          <w:rFonts w:ascii="Sylfaen" w:hAnsi="Sylfaen"/>
          <w:sz w:val="24"/>
          <w:lang w:val="fr-FR"/>
        </w:rPr>
        <w:t xml:space="preserve">, </w:t>
      </w:r>
      <w:r w:rsidR="003E0D48" w:rsidRPr="00855FDC">
        <w:rPr>
          <w:rFonts w:ascii="Sylfaen" w:hAnsi="Sylfaen"/>
          <w:sz w:val="24"/>
        </w:rPr>
        <w:t>որի</w:t>
      </w:r>
      <w:r w:rsidR="003E0D48" w:rsidRPr="00AB7FB9">
        <w:rPr>
          <w:rFonts w:ascii="Sylfaen" w:hAnsi="Sylfaen"/>
          <w:sz w:val="24"/>
          <w:lang w:val="fr-FR"/>
        </w:rPr>
        <w:t xml:space="preserve"> </w:t>
      </w:r>
      <w:r w:rsidR="003E0D48" w:rsidRPr="00855FDC">
        <w:rPr>
          <w:rFonts w:ascii="Sylfaen" w:hAnsi="Sylfaen"/>
          <w:sz w:val="24"/>
        </w:rPr>
        <w:t>արդյունքում</w:t>
      </w:r>
      <w:r w:rsidR="003E0D48" w:rsidRPr="00AB7FB9">
        <w:rPr>
          <w:rFonts w:ascii="Sylfaen" w:hAnsi="Sylfaen"/>
          <w:sz w:val="24"/>
          <w:lang w:val="fr-FR"/>
        </w:rPr>
        <w:t xml:space="preserve"> </w:t>
      </w:r>
      <w:r w:rsidR="003E0D48" w:rsidRPr="00855FDC">
        <w:rPr>
          <w:rFonts w:ascii="Sylfaen" w:hAnsi="Sylfaen"/>
          <w:sz w:val="24"/>
        </w:rPr>
        <w:t>վնասի</w:t>
      </w:r>
      <w:r w:rsidR="003E0D48" w:rsidRPr="00AB7FB9">
        <w:rPr>
          <w:rFonts w:ascii="Sylfaen" w:hAnsi="Sylfaen"/>
          <w:sz w:val="24"/>
          <w:lang w:val="fr-FR"/>
        </w:rPr>
        <w:t xml:space="preserve"> </w:t>
      </w:r>
      <w:r w:rsidR="003E0D48" w:rsidRPr="00855FDC">
        <w:rPr>
          <w:rFonts w:ascii="Sylfaen" w:hAnsi="Sylfaen"/>
          <w:sz w:val="24"/>
        </w:rPr>
        <w:t>փոխհատուցման</w:t>
      </w:r>
      <w:r w:rsidR="003E0D48" w:rsidRPr="00AB7FB9">
        <w:rPr>
          <w:rFonts w:ascii="Sylfaen" w:hAnsi="Sylfaen"/>
          <w:sz w:val="24"/>
          <w:lang w:val="fr-FR"/>
        </w:rPr>
        <w:t xml:space="preserve"> </w:t>
      </w:r>
      <w:r w:rsidR="00C05A4F" w:rsidRPr="00855FDC">
        <w:rPr>
          <w:rFonts w:ascii="Sylfaen" w:hAnsi="Sylfaen"/>
          <w:sz w:val="24"/>
        </w:rPr>
        <w:t>չափը</w:t>
      </w:r>
      <w:r w:rsidR="00C05A4F" w:rsidRPr="00AB7FB9">
        <w:rPr>
          <w:rFonts w:ascii="Sylfaen" w:hAnsi="Sylfaen"/>
          <w:sz w:val="24"/>
          <w:lang w:val="fr-FR"/>
        </w:rPr>
        <w:t xml:space="preserve"> </w:t>
      </w:r>
      <w:r w:rsidR="00C05A4F" w:rsidRPr="00855FDC">
        <w:rPr>
          <w:rFonts w:ascii="Sylfaen" w:hAnsi="Sylfaen"/>
          <w:sz w:val="24"/>
        </w:rPr>
        <w:t>նվազեց</w:t>
      </w:r>
      <w:r w:rsidR="00886561" w:rsidRPr="00855FDC">
        <w:rPr>
          <w:rFonts w:ascii="Sylfaen" w:hAnsi="Sylfaen"/>
          <w:sz w:val="24"/>
        </w:rPr>
        <w:t>վեց</w:t>
      </w:r>
      <w:r w:rsidR="00943EE5" w:rsidRPr="00AB7FB9">
        <w:rPr>
          <w:rFonts w:ascii="Sylfaen" w:hAnsi="Sylfaen"/>
          <w:sz w:val="24"/>
          <w:lang w:val="fr-FR"/>
        </w:rPr>
        <w:t>:</w:t>
      </w:r>
      <w:r w:rsidR="009E39DB" w:rsidRPr="00AB7FB9">
        <w:rPr>
          <w:rFonts w:ascii="Sylfaen" w:hAnsi="Sylfaen"/>
          <w:sz w:val="24"/>
          <w:lang w:val="fr-FR"/>
        </w:rPr>
        <w:t xml:space="preserve"> </w:t>
      </w:r>
      <w:r w:rsidR="009E39DB" w:rsidRPr="00855FDC">
        <w:rPr>
          <w:rFonts w:ascii="Sylfaen" w:hAnsi="Sylfaen"/>
          <w:sz w:val="24"/>
        </w:rPr>
        <w:t>Լորդերի</w:t>
      </w:r>
      <w:r w:rsidR="009E39DB" w:rsidRPr="00AB7FB9">
        <w:rPr>
          <w:rFonts w:ascii="Sylfaen" w:hAnsi="Sylfaen"/>
          <w:sz w:val="24"/>
          <w:lang w:val="fr-FR"/>
        </w:rPr>
        <w:t xml:space="preserve"> </w:t>
      </w:r>
      <w:r w:rsidR="009E39DB" w:rsidRPr="00855FDC">
        <w:rPr>
          <w:rFonts w:ascii="Sylfaen" w:hAnsi="Sylfaen"/>
          <w:sz w:val="24"/>
        </w:rPr>
        <w:t>պալատին</w:t>
      </w:r>
      <w:r w:rsidR="009E39DB" w:rsidRPr="00AB7FB9">
        <w:rPr>
          <w:rFonts w:ascii="Sylfaen" w:hAnsi="Sylfaen"/>
          <w:sz w:val="24"/>
          <w:lang w:val="fr-FR"/>
        </w:rPr>
        <w:t xml:space="preserve"> </w:t>
      </w:r>
      <w:r w:rsidR="009E39DB" w:rsidRPr="00855FDC">
        <w:rPr>
          <w:rFonts w:ascii="Sylfaen" w:hAnsi="Sylfaen"/>
          <w:sz w:val="24"/>
        </w:rPr>
        <w:t>բողոքարկելու</w:t>
      </w:r>
      <w:r w:rsidR="009E39DB" w:rsidRPr="00AB7FB9">
        <w:rPr>
          <w:rFonts w:ascii="Sylfaen" w:hAnsi="Sylfaen"/>
          <w:sz w:val="24"/>
          <w:lang w:val="fr-FR"/>
        </w:rPr>
        <w:t xml:space="preserve"> </w:t>
      </w:r>
      <w:r w:rsidR="00886561" w:rsidRPr="00855FDC">
        <w:rPr>
          <w:rFonts w:ascii="Sylfaen" w:hAnsi="Sylfaen"/>
          <w:sz w:val="24"/>
        </w:rPr>
        <w:t>թույլատ</w:t>
      </w:r>
      <w:r w:rsidR="00943EE5" w:rsidRPr="00855FDC">
        <w:rPr>
          <w:rFonts w:ascii="Sylfaen" w:hAnsi="Sylfaen"/>
          <w:sz w:val="24"/>
        </w:rPr>
        <w:t>վությունը</w:t>
      </w:r>
      <w:r w:rsidR="00943EE5" w:rsidRPr="00AB7FB9">
        <w:rPr>
          <w:rFonts w:ascii="Sylfaen" w:hAnsi="Sylfaen"/>
          <w:sz w:val="24"/>
          <w:lang w:val="fr-FR"/>
        </w:rPr>
        <w:t xml:space="preserve"> </w:t>
      </w:r>
      <w:r w:rsidR="00943EE5" w:rsidRPr="00855FDC">
        <w:rPr>
          <w:rFonts w:ascii="Sylfaen" w:hAnsi="Sylfaen"/>
          <w:sz w:val="24"/>
        </w:rPr>
        <w:t>մերժվեց</w:t>
      </w:r>
      <w:r w:rsidR="00943EE5" w:rsidRPr="00AB7FB9">
        <w:rPr>
          <w:rFonts w:ascii="Sylfaen" w:hAnsi="Sylfaen"/>
          <w:sz w:val="24"/>
          <w:lang w:val="fr-FR"/>
        </w:rPr>
        <w:t>:</w:t>
      </w:r>
    </w:p>
    <w:p w:rsidR="00943EE5" w:rsidRPr="00AB7FB9" w:rsidRDefault="00943EE5" w:rsidP="00922AF3">
      <w:pPr>
        <w:pStyle w:val="ClinContent"/>
        <w:spacing w:before="0"/>
        <w:rPr>
          <w:rFonts w:ascii="Sylfaen" w:hAnsi="Sylfaen"/>
          <w:sz w:val="24"/>
          <w:lang w:val="fr-FR"/>
        </w:rPr>
      </w:pPr>
    </w:p>
    <w:p w:rsidR="009D7B9A" w:rsidRDefault="00943EE5" w:rsidP="00922AF3">
      <w:pPr>
        <w:pStyle w:val="ClinContent"/>
        <w:spacing w:before="0"/>
        <w:rPr>
          <w:rFonts w:ascii="Sylfaen" w:hAnsi="Sylfaen"/>
          <w:sz w:val="24"/>
        </w:rPr>
      </w:pPr>
      <w:proofErr w:type="gramStart"/>
      <w:r w:rsidRPr="00855FDC">
        <w:rPr>
          <w:rFonts w:ascii="Sylfaen" w:hAnsi="Sylfaen"/>
          <w:i/>
          <w:sz w:val="24"/>
        </w:rPr>
        <w:t>Իրավունք</w:t>
      </w:r>
      <w:r w:rsidR="00F42B78" w:rsidRPr="00855FDC">
        <w:rPr>
          <w:rFonts w:ascii="Sylfaen" w:hAnsi="Sylfaen"/>
          <w:i/>
          <w:sz w:val="24"/>
        </w:rPr>
        <w:t>.</w:t>
      </w:r>
      <w:r w:rsidRPr="00855FDC">
        <w:rPr>
          <w:rFonts w:ascii="Sylfaen" w:hAnsi="Sylfaen"/>
          <w:sz w:val="24"/>
        </w:rPr>
        <w:t xml:space="preserve"> </w:t>
      </w:r>
      <w:r w:rsidR="009E39DB" w:rsidRPr="00855FDC">
        <w:rPr>
          <w:rFonts w:ascii="Sylfaen" w:hAnsi="Sylfaen"/>
          <w:sz w:val="24"/>
        </w:rPr>
        <w:t>Հոդված 6 § 1</w:t>
      </w:r>
      <w:r w:rsidRPr="00855FDC">
        <w:rPr>
          <w:rFonts w:ascii="Sylfaen" w:hAnsi="Sylfaen"/>
          <w:sz w:val="24"/>
        </w:rPr>
        <w:t>՝</w:t>
      </w:r>
      <w:r w:rsidR="009E39DB" w:rsidRPr="00855FDC">
        <w:rPr>
          <w:rFonts w:ascii="Sylfaen" w:hAnsi="Sylfaen"/>
          <w:sz w:val="24"/>
        </w:rPr>
        <w:t xml:space="preserve"> </w:t>
      </w:r>
      <w:r w:rsidR="009E39DB" w:rsidRPr="00855FDC">
        <w:rPr>
          <w:rFonts w:ascii="Sylfaen" w:hAnsi="Sylfaen"/>
          <w:i/>
          <w:sz w:val="24"/>
        </w:rPr>
        <w:t xml:space="preserve">Իրավաբանական </w:t>
      </w:r>
      <w:r w:rsidR="005D7975" w:rsidRPr="00855FDC">
        <w:rPr>
          <w:rFonts w:ascii="Sylfaen" w:hAnsi="Sylfaen"/>
          <w:i/>
          <w:sz w:val="24"/>
        </w:rPr>
        <w:t>օգնությունից օգ</w:t>
      </w:r>
      <w:r w:rsidRPr="00855FDC">
        <w:rPr>
          <w:rFonts w:ascii="Sylfaen" w:hAnsi="Sylfaen"/>
          <w:i/>
          <w:sz w:val="24"/>
        </w:rPr>
        <w:t>տ</w:t>
      </w:r>
      <w:r w:rsidR="005D7975" w:rsidRPr="00855FDC">
        <w:rPr>
          <w:rFonts w:ascii="Sylfaen" w:hAnsi="Sylfaen"/>
          <w:i/>
          <w:sz w:val="24"/>
        </w:rPr>
        <w:t>վելու անհնարինություն</w:t>
      </w:r>
      <w:r w:rsidR="005D7975" w:rsidRPr="00855FDC">
        <w:rPr>
          <w:rFonts w:ascii="Sylfaen" w:hAnsi="Sylfaen"/>
          <w:sz w:val="24"/>
        </w:rPr>
        <w:t>.</w:t>
      </w:r>
      <w:proofErr w:type="gramEnd"/>
      <w:r w:rsidR="005D7975" w:rsidRPr="00855FDC">
        <w:rPr>
          <w:rFonts w:ascii="Sylfaen" w:hAnsi="Sylfaen"/>
          <w:sz w:val="24"/>
        </w:rPr>
        <w:t xml:space="preserve"> Բարձրացված հա</w:t>
      </w:r>
      <w:r w:rsidR="00886561" w:rsidRPr="00855FDC">
        <w:rPr>
          <w:rFonts w:ascii="Sylfaen" w:hAnsi="Sylfaen"/>
          <w:sz w:val="24"/>
        </w:rPr>
        <w:t>ր</w:t>
      </w:r>
      <w:r w:rsidR="005D7975" w:rsidRPr="00855FDC">
        <w:rPr>
          <w:rFonts w:ascii="Sylfaen" w:hAnsi="Sylfaen"/>
          <w:sz w:val="24"/>
        </w:rPr>
        <w:t>ցն է, թե արդյո</w:t>
      </w:r>
      <w:r w:rsidR="00921150" w:rsidRPr="00855FDC">
        <w:rPr>
          <w:rFonts w:ascii="Sylfaen" w:hAnsi="Sylfaen"/>
          <w:sz w:val="24"/>
        </w:rPr>
        <w:t>՞</w:t>
      </w:r>
      <w:r w:rsidR="005D7975" w:rsidRPr="00855FDC">
        <w:rPr>
          <w:rFonts w:ascii="Sylfaen" w:hAnsi="Sylfaen"/>
          <w:sz w:val="24"/>
        </w:rPr>
        <w:t xml:space="preserve">ք </w:t>
      </w:r>
      <w:r w:rsidR="00BB32D4" w:rsidRPr="00855FDC">
        <w:rPr>
          <w:rFonts w:ascii="Sylfaen" w:hAnsi="Sylfaen"/>
          <w:sz w:val="24"/>
        </w:rPr>
        <w:t xml:space="preserve">իրավաբանական օգնության տրամադրման մասին դրույթն անհրաժեշտ էր </w:t>
      </w:r>
      <w:r w:rsidR="00DC4A71" w:rsidRPr="00855FDC">
        <w:rPr>
          <w:rFonts w:ascii="Sylfaen" w:hAnsi="Sylfaen"/>
          <w:sz w:val="24"/>
        </w:rPr>
        <w:t xml:space="preserve">յուրաքանչյուր առանձին գործով </w:t>
      </w:r>
      <w:r w:rsidR="00BB32D4" w:rsidRPr="00855FDC">
        <w:rPr>
          <w:rFonts w:ascii="Sylfaen" w:hAnsi="Sylfaen"/>
          <w:sz w:val="24"/>
        </w:rPr>
        <w:t xml:space="preserve">փաստերի և հանգամանքների առկայության պարագայում արդար դատաքննություն ապահովելու համար </w:t>
      </w:r>
      <w:r w:rsidR="00103B7E" w:rsidRPr="00855FDC">
        <w:rPr>
          <w:rFonts w:ascii="Sylfaen" w:hAnsi="Sylfaen"/>
          <w:sz w:val="24"/>
        </w:rPr>
        <w:t>և, ի թիվս այլոց, կախված է այն</w:t>
      </w:r>
      <w:r w:rsidR="00CA1B43" w:rsidRPr="00855FDC">
        <w:rPr>
          <w:rFonts w:ascii="Sylfaen" w:hAnsi="Sylfaen"/>
          <w:sz w:val="24"/>
        </w:rPr>
        <w:t xml:space="preserve"> </w:t>
      </w:r>
      <w:r w:rsidR="00103B7E" w:rsidRPr="00855FDC">
        <w:rPr>
          <w:rFonts w:ascii="Sylfaen" w:hAnsi="Sylfaen"/>
          <w:sz w:val="24"/>
        </w:rPr>
        <w:t>բանից, թե նժա</w:t>
      </w:r>
      <w:r w:rsidR="00600233" w:rsidRPr="00855FDC">
        <w:rPr>
          <w:rFonts w:ascii="Sylfaen" w:hAnsi="Sylfaen"/>
          <w:sz w:val="24"/>
        </w:rPr>
        <w:t>ր</w:t>
      </w:r>
      <w:r w:rsidR="00103B7E" w:rsidRPr="00855FDC">
        <w:rPr>
          <w:rFonts w:ascii="Sylfaen" w:hAnsi="Sylfaen"/>
          <w:sz w:val="24"/>
        </w:rPr>
        <w:t>ին դրվածը գործով դիմումատուների համար որքանով կարևոր է</w:t>
      </w:r>
      <w:r w:rsidR="00600233" w:rsidRPr="00855FDC">
        <w:rPr>
          <w:rFonts w:ascii="Sylfaen" w:hAnsi="Sylfaen"/>
          <w:sz w:val="24"/>
        </w:rPr>
        <w:t>`</w:t>
      </w:r>
      <w:r w:rsidR="00103B7E" w:rsidRPr="00855FDC">
        <w:rPr>
          <w:rFonts w:ascii="Sylfaen" w:hAnsi="Sylfaen"/>
          <w:sz w:val="24"/>
        </w:rPr>
        <w:t xml:space="preserve"> </w:t>
      </w:r>
      <w:r w:rsidR="00600233" w:rsidRPr="00855FDC">
        <w:rPr>
          <w:rFonts w:ascii="Sylfaen" w:hAnsi="Sylfaen"/>
          <w:sz w:val="24"/>
        </w:rPr>
        <w:t xml:space="preserve">ելնելով </w:t>
      </w:r>
      <w:r w:rsidR="00103B7E" w:rsidRPr="00855FDC">
        <w:rPr>
          <w:rFonts w:ascii="Sylfaen" w:hAnsi="Sylfaen"/>
          <w:sz w:val="24"/>
        </w:rPr>
        <w:t xml:space="preserve">օրենքի և ընթացակարգերի բարդությունից և </w:t>
      </w:r>
      <w:r w:rsidR="006B7EE5" w:rsidRPr="00855FDC">
        <w:rPr>
          <w:rFonts w:ascii="Sylfaen" w:hAnsi="Sylfaen"/>
          <w:sz w:val="24"/>
        </w:rPr>
        <w:t>դիմումատուներին</w:t>
      </w:r>
      <w:r w:rsidR="00103B7E" w:rsidRPr="00855FDC">
        <w:rPr>
          <w:rFonts w:ascii="Sylfaen" w:hAnsi="Sylfaen"/>
          <w:sz w:val="24"/>
        </w:rPr>
        <w:t xml:space="preserve"> արդյունավ</w:t>
      </w:r>
      <w:r w:rsidRPr="00855FDC">
        <w:rPr>
          <w:rFonts w:ascii="Sylfaen" w:hAnsi="Sylfaen"/>
          <w:sz w:val="24"/>
        </w:rPr>
        <w:t>ետ ներկայացնելու կարողությունից:</w:t>
      </w:r>
      <w:r w:rsidR="00921150" w:rsidRPr="00855FDC">
        <w:rPr>
          <w:rFonts w:ascii="Sylfaen" w:hAnsi="Sylfaen"/>
          <w:sz w:val="24"/>
        </w:rPr>
        <w:t xml:space="preserve"> </w:t>
      </w:r>
      <w:r w:rsidR="00103B7E" w:rsidRPr="00855FDC">
        <w:rPr>
          <w:rFonts w:ascii="Sylfaen" w:hAnsi="Sylfaen"/>
          <w:sz w:val="24"/>
        </w:rPr>
        <w:t xml:space="preserve">Դիմումատուների համար նժարին դրվածի համատեքստում, պետք է նշել, որ թեև զրպարտության գործերն </w:t>
      </w:r>
      <w:r w:rsidR="006B7EE5" w:rsidRPr="00855FDC">
        <w:rPr>
          <w:rFonts w:ascii="Sylfaen" w:hAnsi="Sylfaen"/>
          <w:sz w:val="24"/>
        </w:rPr>
        <w:t>անհամեմատելի</w:t>
      </w:r>
      <w:r w:rsidR="00103B7E" w:rsidRPr="00855FDC">
        <w:rPr>
          <w:rFonts w:ascii="Sylfaen" w:hAnsi="Sylfaen"/>
          <w:sz w:val="24"/>
        </w:rPr>
        <w:t xml:space="preserve"> են, ասենք, ընտանեկան իրավունքի շրջանակներում բարձրացվող հարցերի հետ, </w:t>
      </w:r>
      <w:r w:rsidR="00600233" w:rsidRPr="00855FDC">
        <w:rPr>
          <w:rFonts w:ascii="Sylfaen" w:hAnsi="Sylfaen"/>
          <w:sz w:val="24"/>
        </w:rPr>
        <w:t xml:space="preserve">այս գործով </w:t>
      </w:r>
      <w:r w:rsidR="00921150" w:rsidRPr="00855FDC">
        <w:rPr>
          <w:rFonts w:ascii="Sylfaen" w:hAnsi="Sylfaen"/>
          <w:sz w:val="24"/>
        </w:rPr>
        <w:t xml:space="preserve">առաջացած </w:t>
      </w:r>
      <w:r w:rsidR="00103B7E" w:rsidRPr="00855FDC">
        <w:rPr>
          <w:rFonts w:ascii="Sylfaen" w:hAnsi="Sylfaen"/>
          <w:sz w:val="24"/>
        </w:rPr>
        <w:t xml:space="preserve">ֆինանսական հետևանքները </w:t>
      </w:r>
      <w:r w:rsidR="00921150" w:rsidRPr="00855FDC">
        <w:rPr>
          <w:rFonts w:ascii="Sylfaen" w:hAnsi="Sylfaen"/>
          <w:sz w:val="24"/>
        </w:rPr>
        <w:t>կարող էին ծանր հետևանքներ ունենալ դիմումատուների համար</w:t>
      </w:r>
      <w:r w:rsidR="00103B7E" w:rsidRPr="00855FDC">
        <w:rPr>
          <w:rFonts w:ascii="Sylfaen" w:hAnsi="Sylfaen"/>
          <w:sz w:val="24"/>
        </w:rPr>
        <w:t>:</w:t>
      </w:r>
      <w:r w:rsidR="00CA1B43" w:rsidRPr="00855FDC">
        <w:rPr>
          <w:rFonts w:ascii="Sylfaen" w:hAnsi="Sylfaen"/>
          <w:sz w:val="24"/>
        </w:rPr>
        <w:t xml:space="preserve"> </w:t>
      </w:r>
      <w:r w:rsidR="00103B7E" w:rsidRPr="00855FDC">
        <w:rPr>
          <w:rFonts w:ascii="Sylfaen" w:hAnsi="Sylfaen"/>
          <w:sz w:val="24"/>
        </w:rPr>
        <w:t>Դատավարությունը տևել է</w:t>
      </w:r>
      <w:r w:rsidR="00CA1B43" w:rsidRPr="00855FDC">
        <w:rPr>
          <w:rFonts w:ascii="Sylfaen" w:hAnsi="Sylfaen"/>
          <w:sz w:val="24"/>
        </w:rPr>
        <w:t xml:space="preserve"> </w:t>
      </w:r>
      <w:r w:rsidR="0041641F" w:rsidRPr="00855FDC">
        <w:rPr>
          <w:rFonts w:ascii="Sylfaen" w:hAnsi="Sylfaen"/>
          <w:sz w:val="24"/>
        </w:rPr>
        <w:t>313 օր, որին նախորդել են</w:t>
      </w:r>
      <w:r w:rsidR="00CA1B43" w:rsidRPr="00855FDC">
        <w:rPr>
          <w:rFonts w:ascii="Sylfaen" w:hAnsi="Sylfaen"/>
          <w:sz w:val="24"/>
        </w:rPr>
        <w:t xml:space="preserve"> </w:t>
      </w:r>
      <w:r w:rsidR="0041641F" w:rsidRPr="00855FDC">
        <w:rPr>
          <w:rFonts w:ascii="Sylfaen" w:hAnsi="Sylfaen"/>
          <w:sz w:val="24"/>
        </w:rPr>
        <w:t>28</w:t>
      </w:r>
      <w:r w:rsidR="00CA1B43" w:rsidRPr="00855FDC">
        <w:rPr>
          <w:rFonts w:ascii="Sylfaen" w:hAnsi="Sylfaen"/>
          <w:sz w:val="24"/>
        </w:rPr>
        <w:t xml:space="preserve"> </w:t>
      </w:r>
      <w:r w:rsidR="00600233" w:rsidRPr="00855FDC">
        <w:rPr>
          <w:rFonts w:ascii="Sylfaen" w:hAnsi="Sylfaen"/>
          <w:sz w:val="24"/>
        </w:rPr>
        <w:t>հընթացս դիմումներ</w:t>
      </w:r>
      <w:r w:rsidR="00921150" w:rsidRPr="00855FDC">
        <w:rPr>
          <w:rFonts w:ascii="Sylfaen" w:hAnsi="Sylfaen"/>
          <w:sz w:val="24"/>
        </w:rPr>
        <w:t>: Վերաքննիչ բողոքի դատաքննությունը</w:t>
      </w:r>
      <w:r w:rsidR="001B7289" w:rsidRPr="00855FDC">
        <w:rPr>
          <w:rFonts w:ascii="Sylfaen" w:hAnsi="Sylfaen"/>
          <w:sz w:val="24"/>
        </w:rPr>
        <w:t xml:space="preserve"> </w:t>
      </w:r>
      <w:r w:rsidR="00921150" w:rsidRPr="00855FDC">
        <w:rPr>
          <w:rFonts w:ascii="Sylfaen" w:hAnsi="Sylfaen"/>
          <w:sz w:val="24"/>
        </w:rPr>
        <w:t>տևել է 23 օր</w:t>
      </w:r>
      <w:r w:rsidR="001B7289" w:rsidRPr="00855FDC">
        <w:rPr>
          <w:rFonts w:ascii="Sylfaen" w:hAnsi="Sylfaen"/>
          <w:sz w:val="24"/>
        </w:rPr>
        <w:t>:</w:t>
      </w:r>
      <w:r w:rsidR="00CA1B43" w:rsidRPr="00855FDC">
        <w:rPr>
          <w:rFonts w:ascii="Sylfaen" w:hAnsi="Sylfaen"/>
          <w:sz w:val="24"/>
        </w:rPr>
        <w:t xml:space="preserve"> </w:t>
      </w:r>
      <w:r w:rsidR="00E855EA" w:rsidRPr="00855FDC">
        <w:rPr>
          <w:rFonts w:ascii="Sylfaen" w:hAnsi="Sylfaen"/>
          <w:sz w:val="24"/>
        </w:rPr>
        <w:t>Դիմումատու</w:t>
      </w:r>
      <w:r w:rsidR="000B18E9" w:rsidRPr="00855FDC">
        <w:rPr>
          <w:rFonts w:ascii="Sylfaen" w:hAnsi="Sylfaen"/>
          <w:sz w:val="24"/>
        </w:rPr>
        <w:t>ների</w:t>
      </w:r>
      <w:r w:rsidR="00E855EA" w:rsidRPr="00855FDC">
        <w:rPr>
          <w:rFonts w:ascii="Sylfaen" w:hAnsi="Sylfaen"/>
          <w:sz w:val="24"/>
        </w:rPr>
        <w:t xml:space="preserve"> կողմից ապացուցման ենթակա </w:t>
      </w:r>
      <w:r w:rsidR="00393186" w:rsidRPr="00855FDC">
        <w:rPr>
          <w:rFonts w:ascii="Sylfaen" w:hAnsi="Sylfaen"/>
          <w:sz w:val="24"/>
        </w:rPr>
        <w:t>փաստերի</w:t>
      </w:r>
      <w:r w:rsidR="00CA1B43" w:rsidRPr="00855FDC">
        <w:rPr>
          <w:rFonts w:ascii="Sylfaen" w:hAnsi="Sylfaen"/>
          <w:sz w:val="24"/>
        </w:rPr>
        <w:t xml:space="preserve"> </w:t>
      </w:r>
      <w:r w:rsidR="00E855EA" w:rsidRPr="00855FDC">
        <w:rPr>
          <w:rFonts w:ascii="Sylfaen" w:hAnsi="Sylfaen"/>
          <w:sz w:val="24"/>
        </w:rPr>
        <w:t>խումբը</w:t>
      </w:r>
      <w:r w:rsidR="000B61E3" w:rsidRPr="00855FDC">
        <w:rPr>
          <w:rFonts w:ascii="Sylfaen" w:hAnsi="Sylfaen"/>
          <w:sz w:val="24"/>
        </w:rPr>
        <w:t xml:space="preserve"> բավականին բարդ էր` ներառելով</w:t>
      </w:r>
      <w:r w:rsidR="00393186" w:rsidRPr="00855FDC">
        <w:rPr>
          <w:rFonts w:ascii="Sylfaen" w:hAnsi="Sylfaen"/>
          <w:sz w:val="24"/>
        </w:rPr>
        <w:t xml:space="preserve"> շուրջ 40,000 </w:t>
      </w:r>
      <w:r w:rsidR="000B18E9" w:rsidRPr="00855FDC">
        <w:rPr>
          <w:rFonts w:ascii="Sylfaen" w:hAnsi="Sylfaen"/>
          <w:sz w:val="24"/>
        </w:rPr>
        <w:t xml:space="preserve">էջ </w:t>
      </w:r>
      <w:r w:rsidR="00393186" w:rsidRPr="00855FDC">
        <w:rPr>
          <w:rFonts w:ascii="Sylfaen" w:hAnsi="Sylfaen"/>
          <w:sz w:val="24"/>
        </w:rPr>
        <w:t>փաստաթղթային ապացույցներ և 130 վկաների բանավոր ցուցմունքներ:</w:t>
      </w:r>
      <w:r w:rsidR="00CA1B43" w:rsidRPr="00855FDC">
        <w:rPr>
          <w:rFonts w:ascii="Sylfaen" w:hAnsi="Sylfaen"/>
          <w:sz w:val="24"/>
        </w:rPr>
        <w:t xml:space="preserve"> </w:t>
      </w:r>
      <w:r w:rsidR="00600233" w:rsidRPr="00855FDC">
        <w:rPr>
          <w:rFonts w:ascii="Sylfaen" w:hAnsi="Sylfaen"/>
          <w:sz w:val="24"/>
        </w:rPr>
        <w:t>Իրավաբանական տեսանկյունից ևս պետք է նշել, որ գործը հեշտ չէր:</w:t>
      </w:r>
      <w:r w:rsidR="00393186" w:rsidRPr="00855FDC">
        <w:rPr>
          <w:rFonts w:ascii="Sylfaen" w:hAnsi="Sylfaen"/>
          <w:sz w:val="24"/>
        </w:rPr>
        <w:t xml:space="preserve"> </w:t>
      </w:r>
      <w:r w:rsidR="000B61E3" w:rsidRPr="00855FDC">
        <w:rPr>
          <w:rFonts w:ascii="Sylfaen" w:hAnsi="Sylfaen"/>
          <w:sz w:val="24"/>
        </w:rPr>
        <w:t xml:space="preserve">Դատական գործը լսող դատավորի առջև դրված էին </w:t>
      </w:r>
      <w:r w:rsidR="000B18E9" w:rsidRPr="00855FDC">
        <w:rPr>
          <w:rFonts w:ascii="Sylfaen" w:hAnsi="Sylfaen"/>
          <w:sz w:val="24"/>
        </w:rPr>
        <w:t>տարաբնույթ</w:t>
      </w:r>
      <w:r w:rsidR="000B61E3" w:rsidRPr="00855FDC">
        <w:rPr>
          <w:rFonts w:ascii="Sylfaen" w:hAnsi="Sylfaen"/>
          <w:sz w:val="24"/>
        </w:rPr>
        <w:t xml:space="preserve"> իրավական և </w:t>
      </w:r>
      <w:r w:rsidR="00600233" w:rsidRPr="00855FDC">
        <w:rPr>
          <w:rFonts w:ascii="Sylfaen" w:hAnsi="Sylfaen"/>
          <w:sz w:val="24"/>
        </w:rPr>
        <w:t>դատավարական</w:t>
      </w:r>
      <w:r w:rsidR="000B61E3" w:rsidRPr="00855FDC">
        <w:rPr>
          <w:rFonts w:ascii="Sylfaen" w:hAnsi="Sylfaen"/>
          <w:sz w:val="24"/>
        </w:rPr>
        <w:t xml:space="preserve"> խնդիրներ</w:t>
      </w:r>
      <w:r w:rsidR="00600233" w:rsidRPr="00855FDC">
        <w:rPr>
          <w:rFonts w:ascii="Sylfaen" w:hAnsi="Sylfaen"/>
          <w:sz w:val="24"/>
        </w:rPr>
        <w:t>`</w:t>
      </w:r>
      <w:r w:rsidR="000B61E3" w:rsidRPr="00855FDC">
        <w:rPr>
          <w:rFonts w:ascii="Sylfaen" w:hAnsi="Sylfaen"/>
          <w:sz w:val="24"/>
        </w:rPr>
        <w:t xml:space="preserve"> նախքան վերջինս ի վիճակի կլիներ լուծելու գործ</w:t>
      </w:r>
      <w:r w:rsidR="00600233" w:rsidRPr="00855FDC">
        <w:rPr>
          <w:rFonts w:ascii="Sylfaen" w:hAnsi="Sylfaen"/>
          <w:sz w:val="24"/>
        </w:rPr>
        <w:t>ում բարձրացված</w:t>
      </w:r>
      <w:r w:rsidR="000B61E3" w:rsidRPr="00855FDC">
        <w:rPr>
          <w:rFonts w:ascii="Sylfaen" w:hAnsi="Sylfaen"/>
          <w:sz w:val="24"/>
        </w:rPr>
        <w:t xml:space="preserve"> գլխավոր խնդիրը:</w:t>
      </w:r>
      <w:r w:rsidR="00CA1B43" w:rsidRPr="00855FDC">
        <w:rPr>
          <w:rFonts w:ascii="Sylfaen" w:hAnsi="Sylfaen"/>
          <w:sz w:val="24"/>
        </w:rPr>
        <w:t xml:space="preserve"> </w:t>
      </w:r>
      <w:r w:rsidR="000B61E3" w:rsidRPr="00855FDC">
        <w:rPr>
          <w:rFonts w:ascii="Sylfaen" w:hAnsi="Sylfaen"/>
          <w:sz w:val="24"/>
        </w:rPr>
        <w:t>Հաշվի առնելով այս ամենը` անհրաժեշտ է</w:t>
      </w:r>
      <w:r w:rsidR="000B18E9" w:rsidRPr="00855FDC">
        <w:rPr>
          <w:rFonts w:ascii="Sylfaen" w:hAnsi="Sylfaen"/>
          <w:sz w:val="24"/>
        </w:rPr>
        <w:t>ր</w:t>
      </w:r>
      <w:r w:rsidR="000B61E3" w:rsidRPr="00855FDC">
        <w:rPr>
          <w:rFonts w:ascii="Sylfaen" w:hAnsi="Sylfaen"/>
          <w:sz w:val="24"/>
        </w:rPr>
        <w:t xml:space="preserve"> </w:t>
      </w:r>
      <w:r w:rsidR="00600233" w:rsidRPr="00855FDC">
        <w:rPr>
          <w:rFonts w:ascii="Sylfaen" w:hAnsi="Sylfaen"/>
          <w:sz w:val="24"/>
        </w:rPr>
        <w:t>պարզե</w:t>
      </w:r>
      <w:r w:rsidR="000B18E9" w:rsidRPr="00855FDC">
        <w:rPr>
          <w:rFonts w:ascii="Sylfaen" w:hAnsi="Sylfaen"/>
          <w:sz w:val="24"/>
        </w:rPr>
        <w:t>լ</w:t>
      </w:r>
      <w:r w:rsidR="005D3CBE" w:rsidRPr="00855FDC">
        <w:rPr>
          <w:rFonts w:ascii="Sylfaen" w:hAnsi="Sylfaen"/>
          <w:sz w:val="24"/>
        </w:rPr>
        <w:t>, թե որքանով էին դիմումատուներ</w:t>
      </w:r>
      <w:r w:rsidR="000B18E9" w:rsidRPr="00855FDC">
        <w:rPr>
          <w:rFonts w:ascii="Sylfaen" w:hAnsi="Sylfaen"/>
          <w:sz w:val="24"/>
        </w:rPr>
        <w:t>ն</w:t>
      </w:r>
      <w:r w:rsidR="005D3CBE" w:rsidRPr="00855FDC">
        <w:rPr>
          <w:rFonts w:ascii="Sylfaen" w:hAnsi="Sylfaen"/>
          <w:sz w:val="24"/>
        </w:rPr>
        <w:t xml:space="preserve"> </w:t>
      </w:r>
      <w:r w:rsidR="000B18E9" w:rsidRPr="00855FDC">
        <w:rPr>
          <w:rFonts w:ascii="Sylfaen" w:hAnsi="Sylfaen"/>
          <w:sz w:val="24"/>
        </w:rPr>
        <w:t xml:space="preserve">ունակ արդյունավետ կերպով կազմակերպել իրենց պաշտպանությունը </w:t>
      </w:r>
      <w:r w:rsidR="00674B4E" w:rsidRPr="00855FDC">
        <w:rPr>
          <w:rFonts w:ascii="Sylfaen" w:hAnsi="Sylfaen"/>
          <w:sz w:val="24"/>
        </w:rPr>
        <w:t>իրավաբանական օգնության բացակայության պարագայում: Դիմումատուն</w:t>
      </w:r>
      <w:r w:rsidR="00600233" w:rsidRPr="00855FDC">
        <w:rPr>
          <w:rFonts w:ascii="Sylfaen" w:hAnsi="Sylfaen"/>
          <w:sz w:val="24"/>
        </w:rPr>
        <w:t>երը կարողացել են</w:t>
      </w:r>
      <w:r w:rsidR="00674B4E" w:rsidRPr="00855FDC">
        <w:rPr>
          <w:rFonts w:ascii="Sylfaen" w:hAnsi="Sylfaen"/>
          <w:sz w:val="24"/>
        </w:rPr>
        <w:t xml:space="preserve"> ճիշտ ներկայացնել գործը` օգտագործելով առկա ռեսուրսները և</w:t>
      </w:r>
      <w:r w:rsidR="00CA1B43" w:rsidRPr="00855FDC">
        <w:rPr>
          <w:rFonts w:ascii="Sylfaen" w:hAnsi="Sylfaen"/>
          <w:sz w:val="24"/>
        </w:rPr>
        <w:t xml:space="preserve"> </w:t>
      </w:r>
      <w:r w:rsidR="00674B4E" w:rsidRPr="00855FDC">
        <w:rPr>
          <w:rFonts w:ascii="Sylfaen" w:hAnsi="Sylfaen"/>
          <w:sz w:val="24"/>
        </w:rPr>
        <w:t>ապացուցել</w:t>
      </w:r>
      <w:r w:rsidR="00116083" w:rsidRPr="00855FDC">
        <w:rPr>
          <w:rFonts w:ascii="Sylfaen" w:hAnsi="Sylfaen"/>
          <w:sz w:val="24"/>
        </w:rPr>
        <w:t>ով</w:t>
      </w:r>
      <w:r w:rsidR="00674B4E" w:rsidRPr="00855FDC">
        <w:rPr>
          <w:rFonts w:ascii="Sylfaen" w:hAnsi="Sylfaen"/>
          <w:sz w:val="24"/>
        </w:rPr>
        <w:t xml:space="preserve"> վիճահարույց արտահայտություններից մի քանիսի ճշմարտացիությունը: </w:t>
      </w:r>
      <w:r w:rsidR="00AD7C82" w:rsidRPr="00855FDC">
        <w:rPr>
          <w:rFonts w:ascii="Sylfaen" w:hAnsi="Sylfaen"/>
          <w:sz w:val="24"/>
        </w:rPr>
        <w:t>Ավելին, նրան</w:t>
      </w:r>
      <w:r w:rsidR="00600233" w:rsidRPr="00855FDC">
        <w:rPr>
          <w:rFonts w:ascii="Sylfaen" w:hAnsi="Sylfaen"/>
          <w:sz w:val="24"/>
        </w:rPr>
        <w:t>ց հաջողվել է</w:t>
      </w:r>
      <w:r w:rsidR="00AD7C82" w:rsidRPr="00855FDC">
        <w:rPr>
          <w:rFonts w:ascii="Sylfaen" w:hAnsi="Sylfaen"/>
          <w:sz w:val="24"/>
        </w:rPr>
        <w:t xml:space="preserve"> ստա</w:t>
      </w:r>
      <w:r w:rsidR="00600233" w:rsidRPr="00855FDC">
        <w:rPr>
          <w:rFonts w:ascii="Sylfaen" w:hAnsi="Sylfaen"/>
          <w:sz w:val="24"/>
        </w:rPr>
        <w:t>նալ</w:t>
      </w:r>
      <w:r w:rsidR="00AD7C82" w:rsidRPr="00855FDC">
        <w:rPr>
          <w:rFonts w:ascii="Sylfaen" w:hAnsi="Sylfaen"/>
          <w:sz w:val="24"/>
        </w:rPr>
        <w:t xml:space="preserve"> մի քանի իրավաբանների</w:t>
      </w:r>
      <w:r w:rsidR="00CA1B43" w:rsidRPr="00855FDC">
        <w:rPr>
          <w:rFonts w:ascii="Sylfaen" w:hAnsi="Sylfaen"/>
          <w:sz w:val="24"/>
        </w:rPr>
        <w:t xml:space="preserve"> </w:t>
      </w:r>
      <w:r w:rsidR="00AD7C82" w:rsidRPr="00855FDC">
        <w:rPr>
          <w:rFonts w:ascii="Sylfaen" w:hAnsi="Sylfaen"/>
          <w:sz w:val="24"/>
        </w:rPr>
        <w:t>և փաստաբանների անվճար օժանդակությունը</w:t>
      </w:r>
      <w:r w:rsidR="00124F52" w:rsidRPr="00855FDC">
        <w:rPr>
          <w:rFonts w:ascii="Sylfaen" w:hAnsi="Sylfaen"/>
          <w:sz w:val="24"/>
        </w:rPr>
        <w:t xml:space="preserve">. </w:t>
      </w:r>
      <w:r w:rsidR="00600233" w:rsidRPr="00855FDC">
        <w:rPr>
          <w:rFonts w:ascii="Sylfaen" w:hAnsi="Sylfaen"/>
          <w:sz w:val="24"/>
        </w:rPr>
        <w:t>ն</w:t>
      </w:r>
      <w:r w:rsidR="00124F52" w:rsidRPr="00855FDC">
        <w:rPr>
          <w:rFonts w:ascii="Sylfaen" w:hAnsi="Sylfaen"/>
          <w:sz w:val="24"/>
        </w:rPr>
        <w:t xml:space="preserve">րանց </w:t>
      </w:r>
      <w:r w:rsidR="000B18E9" w:rsidRPr="00855FDC">
        <w:rPr>
          <w:rFonts w:ascii="Sylfaen" w:hAnsi="Sylfaen"/>
          <w:sz w:val="24"/>
        </w:rPr>
        <w:t xml:space="preserve">նախնական միջնորդությունները </w:t>
      </w:r>
      <w:r w:rsidR="00124F52" w:rsidRPr="00855FDC">
        <w:rPr>
          <w:rFonts w:ascii="Sylfaen" w:hAnsi="Sylfaen"/>
          <w:sz w:val="24"/>
        </w:rPr>
        <w:t>կազմվել էին իրավաբանների կողմից</w:t>
      </w:r>
      <w:r w:rsidR="00AD7C82" w:rsidRPr="00855FDC">
        <w:rPr>
          <w:rFonts w:ascii="Sylfaen" w:hAnsi="Sylfaen"/>
          <w:sz w:val="24"/>
        </w:rPr>
        <w:t xml:space="preserve">: </w:t>
      </w:r>
      <w:r w:rsidR="0059738B" w:rsidRPr="00855FDC">
        <w:rPr>
          <w:rFonts w:ascii="Sylfaen" w:hAnsi="Sylfaen"/>
          <w:sz w:val="24"/>
        </w:rPr>
        <w:t>Սակայն դատավարության</w:t>
      </w:r>
      <w:r w:rsidR="00FC38F5" w:rsidRPr="00855FDC">
        <w:rPr>
          <w:rFonts w:ascii="Sylfaen" w:hAnsi="Sylfaen"/>
          <w:sz w:val="24"/>
        </w:rPr>
        <w:t xml:space="preserve"> </w:t>
      </w:r>
      <w:r w:rsidR="000A3C16" w:rsidRPr="00855FDC">
        <w:rPr>
          <w:rFonts w:ascii="Sylfaen" w:hAnsi="Sylfaen"/>
          <w:sz w:val="24"/>
        </w:rPr>
        <w:t xml:space="preserve">զգալի մասի </w:t>
      </w:r>
      <w:r w:rsidR="0059738B" w:rsidRPr="00855FDC">
        <w:rPr>
          <w:rFonts w:ascii="Sylfaen" w:hAnsi="Sylfaen"/>
          <w:sz w:val="24"/>
        </w:rPr>
        <w:t>ընթացքում, այդ թվում</w:t>
      </w:r>
      <w:r w:rsidR="009D631E" w:rsidRPr="00855FDC">
        <w:rPr>
          <w:rFonts w:ascii="Sylfaen" w:hAnsi="Sylfaen"/>
          <w:sz w:val="24"/>
        </w:rPr>
        <w:t>`</w:t>
      </w:r>
      <w:r w:rsidR="0059738B" w:rsidRPr="00855FDC">
        <w:rPr>
          <w:rFonts w:ascii="Sylfaen" w:hAnsi="Sylfaen"/>
          <w:sz w:val="24"/>
        </w:rPr>
        <w:t xml:space="preserve"> այն նիստերի, որոնց ընթացքում</w:t>
      </w:r>
      <w:r w:rsidR="00CA1B43" w:rsidRPr="00855FDC">
        <w:rPr>
          <w:rFonts w:ascii="Sylfaen" w:hAnsi="Sylfaen"/>
          <w:sz w:val="24"/>
        </w:rPr>
        <w:t xml:space="preserve"> </w:t>
      </w:r>
      <w:r w:rsidR="009D631E" w:rsidRPr="00855FDC">
        <w:rPr>
          <w:rFonts w:ascii="Sylfaen" w:hAnsi="Sylfaen"/>
          <w:sz w:val="24"/>
        </w:rPr>
        <w:t>պարզվում էր թերթիկ</w:t>
      </w:r>
      <w:r w:rsidR="0059738B" w:rsidRPr="00855FDC">
        <w:rPr>
          <w:rFonts w:ascii="Sylfaen" w:hAnsi="Sylfaen"/>
          <w:sz w:val="24"/>
        </w:rPr>
        <w:t>ում առկա տեղեկատվության իսկությունը</w:t>
      </w:r>
      <w:r w:rsidR="0053136C" w:rsidRPr="00855FDC">
        <w:rPr>
          <w:rFonts w:ascii="Sylfaen" w:hAnsi="Sylfaen"/>
          <w:sz w:val="24"/>
        </w:rPr>
        <w:t>, նրանք գործել են առանց իրավաբանի օժանդակության:</w:t>
      </w:r>
      <w:r w:rsidR="00F61AF9" w:rsidRPr="00855FDC">
        <w:rPr>
          <w:rFonts w:ascii="Sylfaen" w:hAnsi="Sylfaen"/>
          <w:sz w:val="24"/>
        </w:rPr>
        <w:t xml:space="preserve"> </w:t>
      </w:r>
      <w:r w:rsidR="00AA4BD8" w:rsidRPr="00855FDC">
        <w:rPr>
          <w:rFonts w:ascii="Sylfaen" w:hAnsi="Sylfaen"/>
          <w:sz w:val="24"/>
        </w:rPr>
        <w:t>Այս բարդ գործընթացի ընթացքում ո</w:t>
      </w:r>
      <w:r w:rsidR="004447CC" w:rsidRPr="00855FDC">
        <w:rPr>
          <w:rFonts w:ascii="Sylfaen" w:hAnsi="Sylfaen"/>
          <w:sz w:val="24"/>
        </w:rPr>
        <w:t>՜</w:t>
      </w:r>
      <w:r w:rsidR="00AA4BD8" w:rsidRPr="00855FDC">
        <w:rPr>
          <w:rFonts w:ascii="Sylfaen" w:hAnsi="Sylfaen"/>
          <w:sz w:val="24"/>
        </w:rPr>
        <w:t xml:space="preserve">չ </w:t>
      </w:r>
      <w:r w:rsidR="008708B4" w:rsidRPr="00855FDC">
        <w:rPr>
          <w:rFonts w:ascii="Sylfaen" w:hAnsi="Sylfaen"/>
          <w:sz w:val="24"/>
        </w:rPr>
        <w:t>իրավաբանների կողմից տրամադրված կամավոր</w:t>
      </w:r>
      <w:r w:rsidR="00600233" w:rsidRPr="00855FDC">
        <w:rPr>
          <w:rFonts w:ascii="Sylfaen" w:hAnsi="Sylfaen"/>
          <w:sz w:val="24"/>
        </w:rPr>
        <w:t>,</w:t>
      </w:r>
      <w:r w:rsidR="008708B4" w:rsidRPr="00855FDC">
        <w:rPr>
          <w:rFonts w:ascii="Sylfaen" w:hAnsi="Sylfaen"/>
          <w:sz w:val="24"/>
        </w:rPr>
        <w:t xml:space="preserve"> </w:t>
      </w:r>
      <w:r w:rsidR="00600233" w:rsidRPr="00855FDC">
        <w:rPr>
          <w:rFonts w:ascii="Sylfaen" w:hAnsi="Sylfaen"/>
          <w:sz w:val="24"/>
        </w:rPr>
        <w:t xml:space="preserve">սակայն </w:t>
      </w:r>
      <w:r w:rsidR="008708B4" w:rsidRPr="00855FDC">
        <w:rPr>
          <w:rFonts w:ascii="Sylfaen" w:hAnsi="Sylfaen"/>
          <w:sz w:val="24"/>
        </w:rPr>
        <w:t>անկանոն օժանդակությունը և ո</w:t>
      </w:r>
      <w:r w:rsidR="004447CC" w:rsidRPr="00855FDC">
        <w:rPr>
          <w:rFonts w:ascii="Sylfaen" w:hAnsi="Sylfaen"/>
          <w:sz w:val="24"/>
        </w:rPr>
        <w:t>՜</w:t>
      </w:r>
      <w:r w:rsidR="008708B4" w:rsidRPr="00855FDC">
        <w:rPr>
          <w:rFonts w:ascii="Sylfaen" w:hAnsi="Sylfaen"/>
          <w:sz w:val="24"/>
        </w:rPr>
        <w:t>չ էլ</w:t>
      </w:r>
      <w:r w:rsidR="00CA1B43" w:rsidRPr="00855FDC">
        <w:rPr>
          <w:rFonts w:ascii="Sylfaen" w:hAnsi="Sylfaen"/>
          <w:sz w:val="24"/>
        </w:rPr>
        <w:t xml:space="preserve"> </w:t>
      </w:r>
      <w:r w:rsidR="009D631E" w:rsidRPr="00855FDC">
        <w:rPr>
          <w:rFonts w:ascii="Sylfaen" w:hAnsi="Sylfaen"/>
          <w:sz w:val="24"/>
        </w:rPr>
        <w:t>բազմակողմանի</w:t>
      </w:r>
      <w:r w:rsidR="008708B4" w:rsidRPr="00855FDC">
        <w:rPr>
          <w:rFonts w:ascii="Sylfaen" w:hAnsi="Sylfaen"/>
          <w:sz w:val="24"/>
        </w:rPr>
        <w:t xml:space="preserve"> դատական օժանդակությունը և անձնապես ո</w:t>
      </w:r>
      <w:r w:rsidR="004447CC" w:rsidRPr="00855FDC">
        <w:rPr>
          <w:rFonts w:ascii="Sylfaen" w:hAnsi="Sylfaen"/>
          <w:sz w:val="24"/>
        </w:rPr>
        <w:t xml:space="preserve">րպես դատավարական կողմ հանդես եկող </w:t>
      </w:r>
      <w:r w:rsidR="008708B4" w:rsidRPr="00855FDC">
        <w:rPr>
          <w:rFonts w:ascii="Sylfaen" w:hAnsi="Sylfaen"/>
          <w:sz w:val="24"/>
        </w:rPr>
        <w:t>դիմու</w:t>
      </w:r>
      <w:r w:rsidR="004447CC" w:rsidRPr="00855FDC">
        <w:rPr>
          <w:rFonts w:ascii="Sylfaen" w:hAnsi="Sylfaen"/>
          <w:sz w:val="24"/>
        </w:rPr>
        <w:t>մատուների հանդեպ ցուցաբեր</w:t>
      </w:r>
      <w:r w:rsidR="008708B4" w:rsidRPr="00855FDC">
        <w:rPr>
          <w:rFonts w:ascii="Sylfaen" w:hAnsi="Sylfaen"/>
          <w:sz w:val="24"/>
        </w:rPr>
        <w:t xml:space="preserve">ած հանդուրժողականությունը </w:t>
      </w:r>
      <w:r w:rsidR="004447CC" w:rsidRPr="00855FDC">
        <w:rPr>
          <w:rFonts w:ascii="Sylfaen" w:hAnsi="Sylfaen"/>
          <w:sz w:val="24"/>
        </w:rPr>
        <w:t xml:space="preserve">չէր կարող փոխարինել գործի </w:t>
      </w:r>
      <w:r w:rsidR="004447CC" w:rsidRPr="00855FDC">
        <w:rPr>
          <w:rFonts w:ascii="Sylfaen" w:hAnsi="Sylfaen"/>
          <w:sz w:val="24"/>
        </w:rPr>
        <w:lastRenderedPageBreak/>
        <w:t>հանգամանքներին և զրպարտության իրավական նրբերանգներին ծանոթ, փորձառու փաստաբանի կողմից կողմի</w:t>
      </w:r>
      <w:r w:rsidR="00600233" w:rsidRPr="00855FDC">
        <w:rPr>
          <w:rFonts w:ascii="Sylfaen" w:hAnsi="Sylfaen"/>
          <w:sz w:val="24"/>
        </w:rPr>
        <w:t xml:space="preserve"> իրավունքների</w:t>
      </w:r>
      <w:r w:rsidR="00CA1B43" w:rsidRPr="00855FDC">
        <w:rPr>
          <w:rFonts w:ascii="Sylfaen" w:hAnsi="Sylfaen"/>
          <w:sz w:val="24"/>
        </w:rPr>
        <w:t xml:space="preserve"> </w:t>
      </w:r>
      <w:r w:rsidR="00600233" w:rsidRPr="00855FDC">
        <w:rPr>
          <w:rFonts w:ascii="Sylfaen" w:hAnsi="Sylfaen"/>
          <w:sz w:val="24"/>
        </w:rPr>
        <w:t xml:space="preserve">դատարանում </w:t>
      </w:r>
      <w:r w:rsidR="004447CC" w:rsidRPr="00855FDC">
        <w:rPr>
          <w:rFonts w:ascii="Sylfaen" w:hAnsi="Sylfaen"/>
          <w:sz w:val="24"/>
        </w:rPr>
        <w:t>տևական և գրագետ</w:t>
      </w:r>
      <w:r w:rsidR="00CA1B43" w:rsidRPr="00855FDC">
        <w:rPr>
          <w:rFonts w:ascii="Sylfaen" w:hAnsi="Sylfaen"/>
          <w:sz w:val="24"/>
        </w:rPr>
        <w:t xml:space="preserve"> </w:t>
      </w:r>
      <w:r w:rsidR="00600233" w:rsidRPr="00855FDC">
        <w:rPr>
          <w:rFonts w:ascii="Sylfaen" w:hAnsi="Sylfaen"/>
          <w:sz w:val="24"/>
        </w:rPr>
        <w:t>ներկայացնելուն</w:t>
      </w:r>
      <w:r w:rsidR="004447CC" w:rsidRPr="00855FDC">
        <w:rPr>
          <w:rFonts w:ascii="Sylfaen" w:hAnsi="Sylfaen"/>
          <w:sz w:val="24"/>
        </w:rPr>
        <w:t>:</w:t>
      </w:r>
      <w:r w:rsidR="00CA1B43" w:rsidRPr="00855FDC">
        <w:rPr>
          <w:rFonts w:ascii="Sylfaen" w:hAnsi="Sylfaen"/>
          <w:sz w:val="24"/>
        </w:rPr>
        <w:t xml:space="preserve"> </w:t>
      </w:r>
      <w:r w:rsidR="00973812" w:rsidRPr="00855FDC">
        <w:rPr>
          <w:rFonts w:ascii="Sylfaen" w:hAnsi="Sylfaen"/>
          <w:sz w:val="24"/>
        </w:rPr>
        <w:t xml:space="preserve">Դատավարության ընթացքի այսքան </w:t>
      </w:r>
      <w:r w:rsidR="009D631E" w:rsidRPr="00855FDC">
        <w:rPr>
          <w:rFonts w:ascii="Sylfaen" w:hAnsi="Sylfaen"/>
          <w:sz w:val="24"/>
        </w:rPr>
        <w:t>տևական լինելն</w:t>
      </w:r>
      <w:r w:rsidR="00973812" w:rsidRPr="00855FDC">
        <w:rPr>
          <w:rFonts w:ascii="Sylfaen" w:hAnsi="Sylfaen"/>
          <w:sz w:val="24"/>
        </w:rPr>
        <w:t xml:space="preserve"> ինքնին որոշ չափով վկայում է դիմումատու</w:t>
      </w:r>
      <w:r w:rsidR="009D631E" w:rsidRPr="00855FDC">
        <w:rPr>
          <w:rFonts w:ascii="Sylfaen" w:hAnsi="Sylfaen"/>
          <w:sz w:val="24"/>
        </w:rPr>
        <w:t>ներ</w:t>
      </w:r>
      <w:r w:rsidR="00973812" w:rsidRPr="00855FDC">
        <w:rPr>
          <w:rFonts w:ascii="Sylfaen" w:hAnsi="Sylfaen"/>
          <w:sz w:val="24"/>
        </w:rPr>
        <w:t>ի կարողությունների և փորձի պակասի մասին:</w:t>
      </w:r>
    </w:p>
    <w:p w:rsidR="00943EE5" w:rsidRPr="00855FDC" w:rsidRDefault="00943EE5" w:rsidP="00922AF3">
      <w:pPr>
        <w:pStyle w:val="ClinContent"/>
        <w:spacing w:before="0"/>
        <w:rPr>
          <w:rFonts w:ascii="Sylfaen" w:hAnsi="Sylfaen"/>
          <w:sz w:val="24"/>
        </w:rPr>
      </w:pPr>
    </w:p>
    <w:p w:rsidR="00FC38F5" w:rsidRPr="00855FDC" w:rsidRDefault="00AD1EF5" w:rsidP="00922AF3">
      <w:pPr>
        <w:pStyle w:val="ClinContent"/>
        <w:spacing w:before="0"/>
        <w:rPr>
          <w:rFonts w:ascii="Sylfaen" w:hAnsi="Sylfaen"/>
          <w:sz w:val="24"/>
        </w:rPr>
      </w:pPr>
      <w:r w:rsidRPr="00855FDC">
        <w:rPr>
          <w:rFonts w:ascii="Sylfaen" w:hAnsi="Sylfaen"/>
          <w:sz w:val="24"/>
        </w:rPr>
        <w:t>Եզրափակելով` անհրաժեշտ է նշել, որ իրավա</w:t>
      </w:r>
      <w:r w:rsidR="009D631E" w:rsidRPr="00855FDC">
        <w:rPr>
          <w:rFonts w:ascii="Sylfaen" w:hAnsi="Sylfaen"/>
          <w:sz w:val="24"/>
        </w:rPr>
        <w:t>բանա</w:t>
      </w:r>
      <w:r w:rsidRPr="00855FDC">
        <w:rPr>
          <w:rFonts w:ascii="Sylfaen" w:hAnsi="Sylfaen"/>
          <w:sz w:val="24"/>
        </w:rPr>
        <w:t xml:space="preserve">կան </w:t>
      </w:r>
      <w:r w:rsidR="009D631E" w:rsidRPr="00855FDC">
        <w:rPr>
          <w:rFonts w:ascii="Sylfaen" w:hAnsi="Sylfaen"/>
          <w:sz w:val="24"/>
        </w:rPr>
        <w:t>օգնության</w:t>
      </w:r>
      <w:r w:rsidR="00EE5055" w:rsidRPr="00855FDC">
        <w:rPr>
          <w:rFonts w:ascii="Sylfaen" w:hAnsi="Sylfaen"/>
          <w:sz w:val="24"/>
        </w:rPr>
        <w:t xml:space="preserve"> մերժումը </w:t>
      </w:r>
      <w:r w:rsidR="00B44322" w:rsidRPr="00855FDC">
        <w:rPr>
          <w:rFonts w:ascii="Sylfaen" w:hAnsi="Sylfaen"/>
          <w:sz w:val="24"/>
        </w:rPr>
        <w:t xml:space="preserve">դիմումատուներին </w:t>
      </w:r>
      <w:r w:rsidR="00EE5055" w:rsidRPr="00855FDC">
        <w:rPr>
          <w:rFonts w:ascii="Sylfaen" w:hAnsi="Sylfaen"/>
          <w:sz w:val="24"/>
        </w:rPr>
        <w:t xml:space="preserve">վերջիններիս զրկել </w:t>
      </w:r>
      <w:r w:rsidR="00B44322" w:rsidRPr="00855FDC">
        <w:rPr>
          <w:rFonts w:ascii="Sylfaen" w:hAnsi="Sylfaen"/>
          <w:sz w:val="24"/>
        </w:rPr>
        <w:t>է</w:t>
      </w:r>
      <w:r w:rsidR="00EE5055" w:rsidRPr="00855FDC">
        <w:rPr>
          <w:rFonts w:ascii="Sylfaen" w:hAnsi="Sylfaen"/>
          <w:sz w:val="24"/>
        </w:rPr>
        <w:t xml:space="preserve"> դատարանի առջև գործի հանգամանքները արդյունավետ ներկայացնելու հնարավորությունից</w:t>
      </w:r>
      <w:r w:rsidR="009D631E" w:rsidRPr="00855FDC">
        <w:rPr>
          <w:rFonts w:ascii="Sylfaen" w:hAnsi="Sylfaen"/>
          <w:sz w:val="24"/>
        </w:rPr>
        <w:t xml:space="preserve">, որի </w:t>
      </w:r>
      <w:r w:rsidR="001A2526" w:rsidRPr="00855FDC">
        <w:rPr>
          <w:rFonts w:ascii="Sylfaen" w:hAnsi="Sylfaen"/>
          <w:sz w:val="24"/>
        </w:rPr>
        <w:t>արդյունքում առաջ</w:t>
      </w:r>
      <w:r w:rsidR="00B44322" w:rsidRPr="00855FDC">
        <w:rPr>
          <w:rFonts w:ascii="Sylfaen" w:hAnsi="Sylfaen"/>
          <w:sz w:val="24"/>
        </w:rPr>
        <w:t xml:space="preserve"> է եկել</w:t>
      </w:r>
      <w:r w:rsidR="001A2526" w:rsidRPr="00855FDC">
        <w:rPr>
          <w:rFonts w:ascii="Sylfaen" w:hAnsi="Sylfaen"/>
          <w:sz w:val="24"/>
        </w:rPr>
        <w:t xml:space="preserve"> կողմերի անհավասարություն` առավելությունը տալով McDonald</w:t>
      </w:r>
      <w:r w:rsidR="00133BF3">
        <w:rPr>
          <w:rFonts w:ascii="Sylfaen" w:hAnsi="Sylfaen"/>
          <w:sz w:val="24"/>
        </w:rPr>
        <w:t>’</w:t>
      </w:r>
      <w:r w:rsidR="001A2526" w:rsidRPr="00855FDC">
        <w:rPr>
          <w:rFonts w:ascii="Sylfaen" w:hAnsi="Sylfaen"/>
          <w:sz w:val="24"/>
        </w:rPr>
        <w:t>s-ին:</w:t>
      </w:r>
    </w:p>
    <w:p w:rsidR="00943EE5" w:rsidRPr="00855FDC" w:rsidRDefault="00943EE5" w:rsidP="00922AF3">
      <w:pPr>
        <w:pStyle w:val="ClinContent"/>
        <w:spacing w:before="0"/>
        <w:rPr>
          <w:rFonts w:ascii="Sylfaen" w:hAnsi="Sylfaen"/>
          <w:i/>
          <w:sz w:val="24"/>
        </w:rPr>
      </w:pPr>
    </w:p>
    <w:p w:rsidR="00FC38F5" w:rsidRPr="00855FDC" w:rsidRDefault="001A2526" w:rsidP="00922AF3">
      <w:pPr>
        <w:pStyle w:val="ClinContent"/>
        <w:spacing w:before="0"/>
        <w:rPr>
          <w:rFonts w:ascii="Sylfaen" w:hAnsi="Sylfaen"/>
          <w:sz w:val="24"/>
        </w:rPr>
      </w:pPr>
      <w:r w:rsidRPr="00855FDC">
        <w:rPr>
          <w:rFonts w:ascii="Sylfaen" w:hAnsi="Sylfaen"/>
          <w:i/>
          <w:sz w:val="24"/>
        </w:rPr>
        <w:t xml:space="preserve">Եզրակացություն. </w:t>
      </w:r>
      <w:r w:rsidR="00446AF3" w:rsidRPr="00855FDC">
        <w:rPr>
          <w:rFonts w:ascii="Sylfaen" w:hAnsi="Sylfaen"/>
          <w:sz w:val="24"/>
        </w:rPr>
        <w:t xml:space="preserve">խախտում </w:t>
      </w:r>
      <w:r w:rsidR="00FC38F5" w:rsidRPr="00855FDC">
        <w:rPr>
          <w:rFonts w:ascii="Sylfaen" w:hAnsi="Sylfaen"/>
          <w:sz w:val="24"/>
        </w:rPr>
        <w:t>(</w:t>
      </w:r>
      <w:r w:rsidRPr="00855FDC">
        <w:rPr>
          <w:rFonts w:ascii="Sylfaen" w:hAnsi="Sylfaen"/>
          <w:sz w:val="24"/>
        </w:rPr>
        <w:t>միաձայն</w:t>
      </w:r>
      <w:r w:rsidR="00FC38F5" w:rsidRPr="00855FDC">
        <w:rPr>
          <w:rFonts w:ascii="Sylfaen" w:hAnsi="Sylfaen"/>
          <w:sz w:val="24"/>
        </w:rPr>
        <w:t>)</w:t>
      </w:r>
    </w:p>
    <w:p w:rsidR="00943EE5" w:rsidRPr="00855FDC" w:rsidRDefault="00943EE5" w:rsidP="00922AF3">
      <w:pPr>
        <w:pStyle w:val="ClinContent"/>
        <w:spacing w:before="0"/>
        <w:rPr>
          <w:rFonts w:ascii="Sylfaen" w:hAnsi="Sylfaen"/>
          <w:sz w:val="24"/>
        </w:rPr>
      </w:pPr>
    </w:p>
    <w:p w:rsidR="00943EE5" w:rsidRPr="00855FDC" w:rsidRDefault="001A2526" w:rsidP="00922AF3">
      <w:pPr>
        <w:pStyle w:val="ClinContent"/>
        <w:spacing w:before="0"/>
        <w:rPr>
          <w:rFonts w:ascii="Sylfaen" w:hAnsi="Sylfaen"/>
          <w:sz w:val="24"/>
        </w:rPr>
      </w:pPr>
      <w:proofErr w:type="gramStart"/>
      <w:r w:rsidRPr="00855FDC">
        <w:rPr>
          <w:rFonts w:ascii="Sylfaen" w:hAnsi="Sylfaen"/>
          <w:sz w:val="24"/>
        </w:rPr>
        <w:t>Հոդված</w:t>
      </w:r>
      <w:r w:rsidR="00F42B78" w:rsidRPr="00855FDC">
        <w:rPr>
          <w:rFonts w:ascii="Sylfaen" w:hAnsi="Sylfaen"/>
          <w:sz w:val="24"/>
        </w:rPr>
        <w:t xml:space="preserve"> </w:t>
      </w:r>
      <w:r w:rsidR="00FC38F5" w:rsidRPr="00855FDC">
        <w:rPr>
          <w:rFonts w:ascii="Sylfaen" w:hAnsi="Sylfaen"/>
          <w:sz w:val="24"/>
        </w:rPr>
        <w:t>6</w:t>
      </w:r>
      <w:r w:rsidR="00F42B78" w:rsidRPr="00855FDC">
        <w:rPr>
          <w:rFonts w:ascii="Sylfaen" w:hAnsi="Sylfaen"/>
          <w:sz w:val="24"/>
        </w:rPr>
        <w:t>.</w:t>
      </w:r>
      <w:proofErr w:type="gramEnd"/>
      <w:r w:rsidR="00F42B78" w:rsidRPr="00855FDC">
        <w:rPr>
          <w:rFonts w:ascii="Sylfaen" w:hAnsi="Sylfaen"/>
          <w:sz w:val="24"/>
        </w:rPr>
        <w:t xml:space="preserve"> </w:t>
      </w:r>
      <w:proofErr w:type="gramStart"/>
      <w:r w:rsidR="00DE2C82" w:rsidRPr="00855FDC">
        <w:rPr>
          <w:rFonts w:ascii="Sylfaen" w:hAnsi="Sylfaen"/>
          <w:sz w:val="24"/>
        </w:rPr>
        <w:t>Ա</w:t>
      </w:r>
      <w:r w:rsidR="00A61938" w:rsidRPr="00855FDC">
        <w:rPr>
          <w:rFonts w:ascii="Sylfaen" w:hAnsi="Sylfaen"/>
          <w:sz w:val="24"/>
        </w:rPr>
        <w:t>յլ բողոքներ.</w:t>
      </w:r>
      <w:proofErr w:type="gramEnd"/>
      <w:r w:rsidR="00A61938" w:rsidRPr="00855FDC">
        <w:rPr>
          <w:rFonts w:ascii="Sylfaen" w:hAnsi="Sylfaen"/>
          <w:sz w:val="24"/>
        </w:rPr>
        <w:t xml:space="preserve"> </w:t>
      </w:r>
      <w:proofErr w:type="gramStart"/>
      <w:r w:rsidR="00CC112D" w:rsidRPr="00855FDC">
        <w:rPr>
          <w:rFonts w:ascii="Sylfaen" w:hAnsi="Sylfaen"/>
          <w:sz w:val="24"/>
        </w:rPr>
        <w:t>հ</w:t>
      </w:r>
      <w:r w:rsidR="00A61938" w:rsidRPr="00855FDC">
        <w:rPr>
          <w:rFonts w:ascii="Sylfaen" w:hAnsi="Sylfaen"/>
          <w:sz w:val="24"/>
        </w:rPr>
        <w:t>իմք</w:t>
      </w:r>
      <w:proofErr w:type="gramEnd"/>
      <w:r w:rsidR="00A61938" w:rsidRPr="00855FDC">
        <w:rPr>
          <w:rFonts w:ascii="Sylfaen" w:hAnsi="Sylfaen"/>
          <w:sz w:val="24"/>
        </w:rPr>
        <w:t xml:space="preserve"> ընդունելով վերոհիշյալ փաստերը</w:t>
      </w:r>
      <w:r w:rsidR="00CC112D" w:rsidRPr="00855FDC">
        <w:rPr>
          <w:rFonts w:ascii="Sylfaen" w:hAnsi="Sylfaen"/>
          <w:sz w:val="24"/>
        </w:rPr>
        <w:t xml:space="preserve">` </w:t>
      </w:r>
      <w:r w:rsidR="00DE2C82" w:rsidRPr="00855FDC">
        <w:rPr>
          <w:rFonts w:ascii="Sylfaen" w:hAnsi="Sylfaen"/>
          <w:sz w:val="24"/>
        </w:rPr>
        <w:t>Դ</w:t>
      </w:r>
      <w:r w:rsidR="00651FE9" w:rsidRPr="00855FDC">
        <w:rPr>
          <w:rFonts w:ascii="Sylfaen" w:hAnsi="Sylfaen"/>
          <w:sz w:val="24"/>
        </w:rPr>
        <w:t>ատարանը անհրաժեշտ չհամարեց</w:t>
      </w:r>
      <w:r w:rsidR="002D12A0" w:rsidRPr="00855FDC">
        <w:rPr>
          <w:rFonts w:ascii="Sylfaen" w:hAnsi="Sylfaen"/>
          <w:sz w:val="24"/>
        </w:rPr>
        <w:t xml:space="preserve"> </w:t>
      </w:r>
      <w:r w:rsidR="0049054C" w:rsidRPr="00855FDC">
        <w:rPr>
          <w:rFonts w:ascii="Sylfaen" w:hAnsi="Sylfaen"/>
          <w:sz w:val="24"/>
        </w:rPr>
        <w:t xml:space="preserve">լրացուցիչ </w:t>
      </w:r>
      <w:r w:rsidR="005724A9" w:rsidRPr="00855FDC">
        <w:rPr>
          <w:rFonts w:ascii="Sylfaen" w:hAnsi="Sylfaen"/>
          <w:sz w:val="24"/>
        </w:rPr>
        <w:t>բողոքներն</w:t>
      </w:r>
      <w:r w:rsidR="009D5FA6" w:rsidRPr="00855FDC">
        <w:rPr>
          <w:rFonts w:ascii="Sylfaen" w:hAnsi="Sylfaen"/>
          <w:sz w:val="24"/>
        </w:rPr>
        <w:t xml:space="preserve"> </w:t>
      </w:r>
      <w:r w:rsidR="002D12A0" w:rsidRPr="00855FDC">
        <w:rPr>
          <w:rFonts w:ascii="Sylfaen" w:hAnsi="Sylfaen"/>
          <w:sz w:val="24"/>
        </w:rPr>
        <w:t>առանձին ուսումնասիրել</w:t>
      </w:r>
      <w:r w:rsidR="005F243D" w:rsidRPr="00855FDC">
        <w:rPr>
          <w:rFonts w:ascii="Sylfaen" w:hAnsi="Sylfaen"/>
          <w:sz w:val="24"/>
        </w:rPr>
        <w:t xml:space="preserve">, որոնք </w:t>
      </w:r>
      <w:r w:rsidR="00143D66" w:rsidRPr="00855FDC">
        <w:rPr>
          <w:rFonts w:ascii="Sylfaen" w:hAnsi="Sylfaen"/>
          <w:sz w:val="24"/>
        </w:rPr>
        <w:t>վերաբերում</w:t>
      </w:r>
      <w:r w:rsidR="005F243D" w:rsidRPr="00855FDC">
        <w:rPr>
          <w:rFonts w:ascii="Sylfaen" w:hAnsi="Sylfaen"/>
          <w:sz w:val="24"/>
        </w:rPr>
        <w:t xml:space="preserve"> էին </w:t>
      </w:r>
      <w:r w:rsidR="00143D66" w:rsidRPr="00855FDC">
        <w:rPr>
          <w:rFonts w:ascii="Sylfaen" w:hAnsi="Sylfaen"/>
          <w:sz w:val="24"/>
        </w:rPr>
        <w:t>դատավարության ընթացքում դատավորների կողմից ընդունված</w:t>
      </w:r>
      <w:r w:rsidR="002D12A0" w:rsidRPr="00855FDC">
        <w:rPr>
          <w:rFonts w:ascii="Sylfaen" w:hAnsi="Sylfaen"/>
          <w:sz w:val="24"/>
        </w:rPr>
        <w:t xml:space="preserve"> </w:t>
      </w:r>
      <w:r w:rsidR="00143D66" w:rsidRPr="00855FDC">
        <w:rPr>
          <w:rFonts w:ascii="Sylfaen" w:hAnsi="Sylfaen"/>
          <w:sz w:val="24"/>
        </w:rPr>
        <w:t>մի շարք առանձին որոշումներին:</w:t>
      </w:r>
    </w:p>
    <w:p w:rsidR="00DE2C82" w:rsidRPr="00855FDC" w:rsidRDefault="00DE2C82" w:rsidP="00922AF3">
      <w:pPr>
        <w:pStyle w:val="ClinContent"/>
        <w:spacing w:before="0"/>
        <w:rPr>
          <w:rFonts w:ascii="Sylfaen" w:hAnsi="Sylfaen"/>
          <w:sz w:val="24"/>
        </w:rPr>
      </w:pPr>
    </w:p>
    <w:p w:rsidR="009D7B9A" w:rsidRDefault="001A2526" w:rsidP="00922AF3">
      <w:pPr>
        <w:pStyle w:val="ClinContent"/>
        <w:spacing w:before="0"/>
        <w:rPr>
          <w:rFonts w:ascii="Sylfaen" w:hAnsi="Sylfaen"/>
          <w:sz w:val="24"/>
        </w:rPr>
      </w:pPr>
      <w:proofErr w:type="gramStart"/>
      <w:r w:rsidRPr="00855FDC">
        <w:rPr>
          <w:rFonts w:ascii="Sylfaen" w:hAnsi="Sylfaen"/>
          <w:sz w:val="24"/>
        </w:rPr>
        <w:t>Հոդված</w:t>
      </w:r>
      <w:r w:rsidR="00CA1B43" w:rsidRPr="00855FDC">
        <w:rPr>
          <w:rFonts w:ascii="Sylfaen" w:hAnsi="Sylfaen"/>
          <w:sz w:val="24"/>
        </w:rPr>
        <w:t xml:space="preserve"> </w:t>
      </w:r>
      <w:r w:rsidR="00FC38F5" w:rsidRPr="00855FDC">
        <w:rPr>
          <w:rFonts w:ascii="Sylfaen" w:hAnsi="Sylfaen"/>
          <w:sz w:val="24"/>
        </w:rPr>
        <w:t>10</w:t>
      </w:r>
      <w:r w:rsidR="00F42B78" w:rsidRPr="00855FDC">
        <w:rPr>
          <w:rFonts w:ascii="Sylfaen" w:hAnsi="Sylfaen"/>
          <w:sz w:val="24"/>
        </w:rPr>
        <w:t>.</w:t>
      </w:r>
      <w:proofErr w:type="gramEnd"/>
      <w:r w:rsidR="00143D66" w:rsidRPr="00855FDC">
        <w:rPr>
          <w:rFonts w:ascii="Sylfaen" w:hAnsi="Sylfaen"/>
          <w:sz w:val="24"/>
        </w:rPr>
        <w:t xml:space="preserve"> </w:t>
      </w:r>
      <w:r w:rsidR="00DE2C82" w:rsidRPr="00855FDC">
        <w:rPr>
          <w:rFonts w:ascii="Sylfaen" w:hAnsi="Sylfaen"/>
          <w:sz w:val="24"/>
        </w:rPr>
        <w:t>Ա</w:t>
      </w:r>
      <w:r w:rsidR="00994F2A" w:rsidRPr="00855FDC">
        <w:rPr>
          <w:rFonts w:ascii="Sylfaen" w:hAnsi="Sylfaen"/>
          <w:sz w:val="24"/>
        </w:rPr>
        <w:t>յս</w:t>
      </w:r>
      <w:r w:rsidR="00143D66" w:rsidRPr="00855FDC">
        <w:rPr>
          <w:rFonts w:ascii="Sylfaen" w:hAnsi="Sylfaen"/>
          <w:sz w:val="24"/>
        </w:rPr>
        <w:t xml:space="preserve"> հոդվածի ներքո քննվող</w:t>
      </w:r>
      <w:r w:rsidR="00CA1B43" w:rsidRPr="00855FDC">
        <w:rPr>
          <w:rFonts w:ascii="Sylfaen" w:hAnsi="Sylfaen"/>
          <w:sz w:val="24"/>
        </w:rPr>
        <w:t xml:space="preserve"> </w:t>
      </w:r>
      <w:r w:rsidR="00DE2C82" w:rsidRPr="00855FDC">
        <w:rPr>
          <w:rFonts w:ascii="Sylfaen" w:hAnsi="Sylfaen"/>
          <w:sz w:val="24"/>
        </w:rPr>
        <w:t xml:space="preserve">լուծման ենթակա </w:t>
      </w:r>
      <w:r w:rsidR="00143D66" w:rsidRPr="00855FDC">
        <w:rPr>
          <w:rFonts w:ascii="Sylfaen" w:hAnsi="Sylfaen"/>
          <w:sz w:val="24"/>
        </w:rPr>
        <w:t>հիմնական խնդիրը</w:t>
      </w:r>
      <w:r w:rsidR="00DE2C82" w:rsidRPr="00855FDC">
        <w:rPr>
          <w:rFonts w:ascii="Sylfaen" w:hAnsi="Sylfaen"/>
          <w:sz w:val="24"/>
        </w:rPr>
        <w:t xml:space="preserve"> կայանում էր նրանում,</w:t>
      </w:r>
      <w:r w:rsidR="00143D66" w:rsidRPr="00855FDC">
        <w:rPr>
          <w:rFonts w:ascii="Sylfaen" w:hAnsi="Sylfaen"/>
          <w:sz w:val="24"/>
        </w:rPr>
        <w:t xml:space="preserve"> </w:t>
      </w:r>
      <w:r w:rsidR="00DE2C82" w:rsidRPr="00855FDC">
        <w:rPr>
          <w:rFonts w:ascii="Sylfaen" w:hAnsi="Sylfaen"/>
          <w:sz w:val="24"/>
        </w:rPr>
        <w:t xml:space="preserve">թե արդյո՞ք </w:t>
      </w:r>
      <w:r w:rsidR="002D5A35" w:rsidRPr="00855FDC">
        <w:rPr>
          <w:rFonts w:ascii="Sylfaen" w:hAnsi="Sylfaen"/>
          <w:sz w:val="24"/>
        </w:rPr>
        <w:t>դիմումատու</w:t>
      </w:r>
      <w:r w:rsidR="00DE2C82" w:rsidRPr="00855FDC">
        <w:rPr>
          <w:rFonts w:ascii="Sylfaen" w:hAnsi="Sylfaen"/>
          <w:sz w:val="24"/>
        </w:rPr>
        <w:t>ներ</w:t>
      </w:r>
      <w:r w:rsidR="002D5A35" w:rsidRPr="00855FDC">
        <w:rPr>
          <w:rFonts w:ascii="Sylfaen" w:hAnsi="Sylfaen"/>
          <w:sz w:val="24"/>
        </w:rPr>
        <w:t>ի արտահայտվելու ազատության նկատմամբ կիրառված միջամտությունը «</w:t>
      </w:r>
      <w:r w:rsidR="00DE2C82" w:rsidRPr="00855FDC">
        <w:rPr>
          <w:rFonts w:ascii="Sylfaen" w:hAnsi="Sylfaen"/>
          <w:sz w:val="24"/>
        </w:rPr>
        <w:t xml:space="preserve">անհրաժեշտ </w:t>
      </w:r>
      <w:r w:rsidR="008113DF" w:rsidRPr="00855FDC">
        <w:rPr>
          <w:rFonts w:ascii="Sylfaen" w:hAnsi="Sylfaen"/>
          <w:sz w:val="24"/>
        </w:rPr>
        <w:t>էր</w:t>
      </w:r>
      <w:r w:rsidR="00DE2C82" w:rsidRPr="00855FDC">
        <w:rPr>
          <w:rFonts w:ascii="Sylfaen" w:hAnsi="Sylfaen"/>
          <w:sz w:val="24"/>
        </w:rPr>
        <w:t xml:space="preserve"> </w:t>
      </w:r>
      <w:r w:rsidR="001C2967" w:rsidRPr="00855FDC">
        <w:rPr>
          <w:rFonts w:ascii="Sylfaen" w:hAnsi="Sylfaen"/>
          <w:sz w:val="24"/>
        </w:rPr>
        <w:t>ժողովրդավարական</w:t>
      </w:r>
      <w:r w:rsidR="00DE2C82" w:rsidRPr="00855FDC">
        <w:rPr>
          <w:rFonts w:ascii="Sylfaen" w:hAnsi="Sylfaen"/>
          <w:sz w:val="24"/>
        </w:rPr>
        <w:t xml:space="preserve"> հասարակությունում</w:t>
      </w:r>
      <w:r w:rsidR="002D5A35" w:rsidRPr="00855FDC">
        <w:rPr>
          <w:rFonts w:ascii="Sylfaen" w:hAnsi="Sylfaen"/>
          <w:sz w:val="24"/>
        </w:rPr>
        <w:t>»:</w:t>
      </w:r>
      <w:r w:rsidR="00994F2A" w:rsidRPr="00855FDC">
        <w:rPr>
          <w:rFonts w:ascii="Sylfaen" w:hAnsi="Sylfaen"/>
          <w:sz w:val="24"/>
        </w:rPr>
        <w:t xml:space="preserve"> </w:t>
      </w:r>
      <w:r w:rsidR="002D5A35" w:rsidRPr="00855FDC">
        <w:rPr>
          <w:rFonts w:ascii="Sylfaen" w:hAnsi="Sylfaen"/>
          <w:sz w:val="24"/>
        </w:rPr>
        <w:t>Կառավարությունը պնդում էր, որ քանի որ դիմումատու</w:t>
      </w:r>
      <w:r w:rsidR="00F05A8A" w:rsidRPr="00855FDC">
        <w:rPr>
          <w:rFonts w:ascii="Sylfaen" w:hAnsi="Sylfaen"/>
          <w:sz w:val="24"/>
        </w:rPr>
        <w:t xml:space="preserve">ները լրագրողներ չէին, նրանք չպետք է </w:t>
      </w:r>
      <w:r w:rsidR="001C2967" w:rsidRPr="00855FDC">
        <w:rPr>
          <w:rFonts w:ascii="Sylfaen" w:hAnsi="Sylfaen"/>
          <w:sz w:val="24"/>
        </w:rPr>
        <w:t xml:space="preserve">հավասարապես </w:t>
      </w:r>
      <w:r w:rsidR="00F05A8A" w:rsidRPr="00855FDC">
        <w:rPr>
          <w:rFonts w:ascii="Sylfaen" w:hAnsi="Sylfaen"/>
          <w:sz w:val="24"/>
        </w:rPr>
        <w:t>օգտվեին</w:t>
      </w:r>
      <w:r w:rsidR="00DB4A97" w:rsidRPr="00855FDC">
        <w:rPr>
          <w:rFonts w:ascii="Sylfaen" w:hAnsi="Sylfaen"/>
          <w:sz w:val="24"/>
        </w:rPr>
        <w:t xml:space="preserve"> </w:t>
      </w:r>
      <w:r w:rsidR="008113DF" w:rsidRPr="00855FDC">
        <w:rPr>
          <w:rFonts w:ascii="Sylfaen" w:hAnsi="Sylfaen"/>
          <w:sz w:val="24"/>
        </w:rPr>
        <w:t>10-րդ հոդվածով</w:t>
      </w:r>
      <w:r w:rsidR="00DB4A97" w:rsidRPr="00855FDC">
        <w:rPr>
          <w:rFonts w:ascii="Sylfaen" w:hAnsi="Sylfaen"/>
          <w:sz w:val="24"/>
        </w:rPr>
        <w:t xml:space="preserve"> շնորհվող բարձրագույն պաշտպանությունից</w:t>
      </w:r>
      <w:r w:rsidR="001C2967" w:rsidRPr="00855FDC">
        <w:rPr>
          <w:rFonts w:ascii="Sylfaen" w:hAnsi="Sylfaen"/>
          <w:sz w:val="24"/>
        </w:rPr>
        <w:t>,</w:t>
      </w:r>
      <w:r w:rsidR="00F05A8A" w:rsidRPr="00855FDC">
        <w:rPr>
          <w:rFonts w:ascii="Sylfaen" w:hAnsi="Sylfaen"/>
          <w:sz w:val="24"/>
        </w:rPr>
        <w:t xml:space="preserve"> ինչ </w:t>
      </w:r>
      <w:r w:rsidR="00DB4A97" w:rsidRPr="00855FDC">
        <w:rPr>
          <w:rFonts w:ascii="Sylfaen" w:hAnsi="Sylfaen"/>
          <w:sz w:val="24"/>
        </w:rPr>
        <w:t>մամուլը:</w:t>
      </w:r>
      <w:r w:rsidR="000B3A56" w:rsidRPr="00855FDC">
        <w:rPr>
          <w:rFonts w:ascii="Sylfaen" w:hAnsi="Sylfaen"/>
          <w:sz w:val="24"/>
        </w:rPr>
        <w:t xml:space="preserve"> </w:t>
      </w:r>
      <w:r w:rsidR="00E26F79" w:rsidRPr="00855FDC">
        <w:rPr>
          <w:rFonts w:ascii="Sylfaen" w:hAnsi="Sylfaen"/>
          <w:sz w:val="24"/>
        </w:rPr>
        <w:t>Դատարանը գտավ, սակայն, որ ժողովրդավարական հասարակությունում շահերի պաշտպանության ցանկացած մեծ կամ փոքր ոչ ֆորմալ</w:t>
      </w:r>
      <w:r w:rsidR="00CA1B43" w:rsidRPr="00855FDC">
        <w:rPr>
          <w:rFonts w:ascii="Sylfaen" w:hAnsi="Sylfaen"/>
          <w:sz w:val="24"/>
        </w:rPr>
        <w:t xml:space="preserve"> </w:t>
      </w:r>
      <w:r w:rsidR="00E26F79" w:rsidRPr="00855FDC">
        <w:rPr>
          <w:rFonts w:ascii="Sylfaen" w:hAnsi="Sylfaen"/>
          <w:sz w:val="24"/>
        </w:rPr>
        <w:t xml:space="preserve">խումբ, ինչպիսին London Greenpeace-ն էր, պետք է հնարավորություն ունենա </w:t>
      </w:r>
      <w:r w:rsidR="001C2967" w:rsidRPr="00855FDC">
        <w:rPr>
          <w:rFonts w:ascii="Sylfaen" w:hAnsi="Sylfaen"/>
          <w:sz w:val="24"/>
        </w:rPr>
        <w:t>իր</w:t>
      </w:r>
      <w:r w:rsidR="00E26F79" w:rsidRPr="00855FDC">
        <w:rPr>
          <w:rFonts w:ascii="Sylfaen" w:hAnsi="Sylfaen"/>
          <w:sz w:val="24"/>
        </w:rPr>
        <w:t xml:space="preserve"> գործունեությունը արդյունավետ կերպով ծավալել: </w:t>
      </w:r>
      <w:r w:rsidR="004C2EC4" w:rsidRPr="00855FDC">
        <w:rPr>
          <w:rFonts w:ascii="Sylfaen" w:hAnsi="Sylfaen"/>
          <w:sz w:val="24"/>
        </w:rPr>
        <w:t xml:space="preserve">Հասարակական հետաքրքրությունը </w:t>
      </w:r>
      <w:r w:rsidR="00B4314E" w:rsidRPr="00855FDC">
        <w:rPr>
          <w:rFonts w:ascii="Sylfaen" w:hAnsi="Sylfaen"/>
          <w:sz w:val="24"/>
        </w:rPr>
        <w:t xml:space="preserve">առողջապահության և բնապահպանության հրատապ թեմաների շուրջ բանավեճ ծավալող </w:t>
      </w:r>
      <w:r w:rsidR="004C2EC4" w:rsidRPr="00855FDC">
        <w:rPr>
          <w:rFonts w:ascii="Sylfaen" w:hAnsi="Sylfaen"/>
          <w:sz w:val="24"/>
        </w:rPr>
        <w:t>այսպիսի խմբերի և անհատների</w:t>
      </w:r>
      <w:r w:rsidR="00CA1B43" w:rsidRPr="00855FDC">
        <w:rPr>
          <w:rFonts w:ascii="Sylfaen" w:hAnsi="Sylfaen"/>
          <w:sz w:val="24"/>
        </w:rPr>
        <w:t xml:space="preserve"> </w:t>
      </w:r>
      <w:r w:rsidR="00B41CA5" w:rsidRPr="00855FDC">
        <w:rPr>
          <w:rFonts w:ascii="Sylfaen" w:hAnsi="Sylfaen"/>
          <w:sz w:val="24"/>
        </w:rPr>
        <w:t>գործունեության հա</w:t>
      </w:r>
      <w:r w:rsidR="00B4314E" w:rsidRPr="00855FDC">
        <w:rPr>
          <w:rFonts w:ascii="Sylfaen" w:hAnsi="Sylfaen"/>
          <w:sz w:val="24"/>
        </w:rPr>
        <w:t>մար հնարավորություններ ստեղծելու</w:t>
      </w:r>
      <w:r w:rsidR="004C2EC4" w:rsidRPr="00855FDC">
        <w:rPr>
          <w:rFonts w:ascii="Sylfaen" w:hAnsi="Sylfaen"/>
          <w:sz w:val="24"/>
        </w:rPr>
        <w:t xml:space="preserve"> նկատմամբ մեծ է</w:t>
      </w:r>
      <w:r w:rsidR="00B4314E" w:rsidRPr="00855FDC">
        <w:rPr>
          <w:rFonts w:ascii="Sylfaen" w:hAnsi="Sylfaen"/>
          <w:sz w:val="24"/>
        </w:rPr>
        <w:t>:</w:t>
      </w:r>
    </w:p>
    <w:p w:rsidR="00DE2C82" w:rsidRPr="00855FDC" w:rsidRDefault="00DE2C82" w:rsidP="00922AF3">
      <w:pPr>
        <w:pStyle w:val="ClinContent"/>
        <w:spacing w:before="0"/>
        <w:rPr>
          <w:rFonts w:ascii="Sylfaen" w:hAnsi="Sylfaen"/>
          <w:sz w:val="24"/>
        </w:rPr>
      </w:pPr>
    </w:p>
    <w:p w:rsidR="009D7B9A" w:rsidRDefault="008113DF" w:rsidP="00922AF3">
      <w:pPr>
        <w:pStyle w:val="ClinContent"/>
        <w:spacing w:before="0"/>
        <w:rPr>
          <w:rFonts w:ascii="Sylfaen" w:hAnsi="Sylfaen"/>
          <w:sz w:val="24"/>
        </w:rPr>
      </w:pPr>
      <w:r w:rsidRPr="00855FDC">
        <w:rPr>
          <w:rFonts w:ascii="Sylfaen" w:hAnsi="Sylfaen"/>
          <w:sz w:val="24"/>
        </w:rPr>
        <w:t>10-րդ հոդվածի</w:t>
      </w:r>
      <w:r w:rsidR="00B4314E" w:rsidRPr="00855FDC">
        <w:rPr>
          <w:rFonts w:ascii="Sylfaen" w:hAnsi="Sylfaen"/>
          <w:sz w:val="24"/>
        </w:rPr>
        <w:t xml:space="preserve"> ներքո լրագրողներին շնորհվող պաշտպանության երաշխիքը</w:t>
      </w:r>
      <w:r w:rsidR="001C2967" w:rsidRPr="00855FDC">
        <w:rPr>
          <w:rFonts w:ascii="Sylfaen" w:hAnsi="Sylfaen"/>
          <w:sz w:val="24"/>
        </w:rPr>
        <w:t>,</w:t>
      </w:r>
      <w:r w:rsidR="00B4314E" w:rsidRPr="00855FDC">
        <w:rPr>
          <w:rFonts w:ascii="Sylfaen" w:hAnsi="Sylfaen"/>
          <w:sz w:val="24"/>
        </w:rPr>
        <w:t xml:space="preserve"> կապված հանրային հետաքրքրություն ներկայացնող խնդիրների </w:t>
      </w:r>
      <w:r w:rsidRPr="00855FDC">
        <w:rPr>
          <w:rFonts w:ascii="Sylfaen" w:hAnsi="Sylfaen"/>
          <w:sz w:val="24"/>
        </w:rPr>
        <w:t>իրազեկման</w:t>
      </w:r>
      <w:r w:rsidR="00D15268" w:rsidRPr="00855FDC">
        <w:rPr>
          <w:rFonts w:ascii="Sylfaen" w:hAnsi="Sylfaen"/>
          <w:sz w:val="24"/>
        </w:rPr>
        <w:t xml:space="preserve"> հետ</w:t>
      </w:r>
      <w:r w:rsidR="001C2967" w:rsidRPr="00855FDC">
        <w:rPr>
          <w:rFonts w:ascii="Sylfaen" w:hAnsi="Sylfaen"/>
          <w:sz w:val="24"/>
        </w:rPr>
        <w:t>,</w:t>
      </w:r>
      <w:r w:rsidR="00D15268" w:rsidRPr="00855FDC">
        <w:rPr>
          <w:rFonts w:ascii="Sylfaen" w:hAnsi="Sylfaen"/>
          <w:sz w:val="24"/>
        </w:rPr>
        <w:t xml:space="preserve"> սահմանափակված է</w:t>
      </w:r>
      <w:r w:rsidR="00B0266E" w:rsidRPr="00855FDC">
        <w:rPr>
          <w:rFonts w:ascii="Sylfaen" w:hAnsi="Sylfaen"/>
          <w:sz w:val="24"/>
        </w:rPr>
        <w:t xml:space="preserve"> </w:t>
      </w:r>
      <w:r w:rsidR="004C497D" w:rsidRPr="00855FDC">
        <w:rPr>
          <w:rFonts w:ascii="Sylfaen" w:hAnsi="Sylfaen"/>
          <w:sz w:val="24"/>
        </w:rPr>
        <w:t>լրագրողական էթիկայի</w:t>
      </w:r>
      <w:r w:rsidR="00CA1B43" w:rsidRPr="00855FDC">
        <w:rPr>
          <w:rFonts w:ascii="Sylfaen" w:hAnsi="Sylfaen"/>
          <w:sz w:val="24"/>
        </w:rPr>
        <w:t xml:space="preserve"> </w:t>
      </w:r>
      <w:r w:rsidR="00D85417" w:rsidRPr="00855FDC">
        <w:rPr>
          <w:rFonts w:ascii="Sylfaen" w:hAnsi="Sylfaen"/>
          <w:sz w:val="24"/>
        </w:rPr>
        <w:t>կանոնների համաձայն</w:t>
      </w:r>
      <w:r w:rsidR="004C497D" w:rsidRPr="00855FDC">
        <w:rPr>
          <w:rFonts w:ascii="Sylfaen" w:hAnsi="Sylfaen"/>
          <w:sz w:val="24"/>
        </w:rPr>
        <w:t xml:space="preserve"> </w:t>
      </w:r>
      <w:r w:rsidRPr="00855FDC">
        <w:rPr>
          <w:rFonts w:ascii="Sylfaen" w:hAnsi="Sylfaen"/>
          <w:sz w:val="24"/>
        </w:rPr>
        <w:t>բարեխղճորեն</w:t>
      </w:r>
      <w:r w:rsidR="004C497D" w:rsidRPr="00855FDC">
        <w:rPr>
          <w:rFonts w:ascii="Sylfaen" w:hAnsi="Sylfaen"/>
          <w:sz w:val="24"/>
        </w:rPr>
        <w:t xml:space="preserve"> գործելու</w:t>
      </w:r>
      <w:r w:rsidR="00D85417" w:rsidRPr="00855FDC">
        <w:rPr>
          <w:rFonts w:ascii="Sylfaen" w:hAnsi="Sylfaen"/>
          <w:sz w:val="24"/>
        </w:rPr>
        <w:t xml:space="preserve"> և ճշգրիտ ու հավաստի տեղեկատվություն հաղորդելու</w:t>
      </w:r>
      <w:r w:rsidR="004C497D" w:rsidRPr="00855FDC">
        <w:rPr>
          <w:rFonts w:ascii="Sylfaen" w:hAnsi="Sylfaen"/>
          <w:sz w:val="24"/>
        </w:rPr>
        <w:t xml:space="preserve"> </w:t>
      </w:r>
      <w:r w:rsidR="00D85417" w:rsidRPr="00855FDC">
        <w:rPr>
          <w:rFonts w:ascii="Sylfaen" w:hAnsi="Sylfaen"/>
          <w:sz w:val="24"/>
        </w:rPr>
        <w:t>պարտավորությամբ, միևնույն սկզբունքը գործում է նրանց նկատմամբ, ովքեր մասնակցում են հանրային բանավեճին:</w:t>
      </w:r>
      <w:r w:rsidRPr="00855FDC">
        <w:rPr>
          <w:rFonts w:ascii="Sylfaen" w:hAnsi="Sylfaen"/>
          <w:sz w:val="24"/>
        </w:rPr>
        <w:t xml:space="preserve"> Թերթիկն</w:t>
      </w:r>
      <w:r w:rsidR="003B32AC" w:rsidRPr="00855FDC">
        <w:rPr>
          <w:rFonts w:ascii="Sylfaen" w:hAnsi="Sylfaen"/>
          <w:sz w:val="24"/>
        </w:rPr>
        <w:t>երի տարածման դեպքում չափազանցության որոշակի աստիճան հանդուրժելի է</w:t>
      </w:r>
      <w:r w:rsidR="00263C8B" w:rsidRPr="00855FDC">
        <w:rPr>
          <w:rFonts w:ascii="Sylfaen" w:hAnsi="Sylfaen"/>
          <w:sz w:val="24"/>
        </w:rPr>
        <w:t>, և նույնիսկ սպասելի, սակայն քննվող գործում մեղադրա</w:t>
      </w:r>
      <w:r w:rsidR="002860D8" w:rsidRPr="00855FDC">
        <w:rPr>
          <w:rFonts w:ascii="Sylfaen" w:hAnsi="Sylfaen"/>
          <w:sz w:val="24"/>
        </w:rPr>
        <w:t xml:space="preserve">նքները </w:t>
      </w:r>
      <w:r w:rsidR="00263C8B" w:rsidRPr="00855FDC">
        <w:rPr>
          <w:rFonts w:ascii="Sylfaen" w:hAnsi="Sylfaen"/>
          <w:sz w:val="24"/>
        </w:rPr>
        <w:t>բավականին լուրջ բնույթ ունեին և ներկայացված էին փաստերի տեսքով, և ոչ</w:t>
      </w:r>
      <w:r w:rsidR="00CA1B43" w:rsidRPr="00855FDC">
        <w:rPr>
          <w:rFonts w:ascii="Sylfaen" w:hAnsi="Sylfaen"/>
          <w:sz w:val="24"/>
        </w:rPr>
        <w:t xml:space="preserve"> </w:t>
      </w:r>
      <w:r w:rsidR="00263C8B" w:rsidRPr="00855FDC">
        <w:rPr>
          <w:rFonts w:ascii="Sylfaen" w:hAnsi="Sylfaen"/>
          <w:sz w:val="24"/>
        </w:rPr>
        <w:t xml:space="preserve">թե` </w:t>
      </w:r>
      <w:r w:rsidR="002860D8" w:rsidRPr="00855FDC">
        <w:rPr>
          <w:rFonts w:ascii="Sylfaen" w:hAnsi="Sylfaen"/>
          <w:sz w:val="24"/>
        </w:rPr>
        <w:t xml:space="preserve">գնահատողական </w:t>
      </w:r>
      <w:r w:rsidR="00263C8B" w:rsidRPr="00855FDC">
        <w:rPr>
          <w:rFonts w:ascii="Sylfaen" w:hAnsi="Sylfaen"/>
          <w:sz w:val="24"/>
        </w:rPr>
        <w:t>դատողությունների:</w:t>
      </w:r>
    </w:p>
    <w:p w:rsidR="00943EE5" w:rsidRPr="00855FDC" w:rsidRDefault="00943EE5" w:rsidP="00922AF3">
      <w:pPr>
        <w:pStyle w:val="ClinContent"/>
        <w:spacing w:before="0"/>
        <w:rPr>
          <w:rFonts w:ascii="Sylfaen" w:hAnsi="Sylfaen"/>
          <w:sz w:val="24"/>
        </w:rPr>
      </w:pPr>
    </w:p>
    <w:p w:rsidR="009D7B9A" w:rsidRDefault="00EA1181" w:rsidP="00922AF3">
      <w:pPr>
        <w:pStyle w:val="ClinContent"/>
        <w:spacing w:before="0"/>
        <w:rPr>
          <w:rFonts w:ascii="Sylfaen" w:hAnsi="Sylfaen"/>
          <w:sz w:val="24"/>
        </w:rPr>
      </w:pPr>
      <w:r w:rsidRPr="00855FDC">
        <w:rPr>
          <w:rFonts w:ascii="Sylfaen" w:hAnsi="Sylfaen"/>
          <w:sz w:val="24"/>
        </w:rPr>
        <w:t>Դիմումատուները, ովքեր, չնայած Բարձ</w:t>
      </w:r>
      <w:r w:rsidR="002860D8" w:rsidRPr="00855FDC">
        <w:rPr>
          <w:rFonts w:ascii="Sylfaen" w:hAnsi="Sylfaen"/>
          <w:sz w:val="24"/>
        </w:rPr>
        <w:t>ր</w:t>
      </w:r>
      <w:r w:rsidRPr="00855FDC">
        <w:rPr>
          <w:rFonts w:ascii="Sylfaen" w:hAnsi="Sylfaen"/>
          <w:sz w:val="24"/>
        </w:rPr>
        <w:t xml:space="preserve"> դատարան</w:t>
      </w:r>
      <w:r w:rsidR="004D13CE" w:rsidRPr="00855FDC">
        <w:rPr>
          <w:rFonts w:ascii="Sylfaen" w:hAnsi="Sylfaen"/>
          <w:sz w:val="24"/>
        </w:rPr>
        <w:t>ի հակառակ</w:t>
      </w:r>
      <w:r w:rsidR="00CA1B43" w:rsidRPr="00855FDC">
        <w:rPr>
          <w:rFonts w:ascii="Sylfaen" w:hAnsi="Sylfaen"/>
          <w:sz w:val="24"/>
        </w:rPr>
        <w:t xml:space="preserve"> </w:t>
      </w:r>
      <w:r w:rsidR="004D13CE" w:rsidRPr="00855FDC">
        <w:rPr>
          <w:rFonts w:ascii="Sylfaen" w:hAnsi="Sylfaen"/>
          <w:sz w:val="24"/>
        </w:rPr>
        <w:t>եզրահանգման,</w:t>
      </w:r>
      <w:r w:rsidR="00CA1B43" w:rsidRPr="00855FDC">
        <w:rPr>
          <w:rFonts w:ascii="Sylfaen" w:hAnsi="Sylfaen"/>
          <w:sz w:val="24"/>
        </w:rPr>
        <w:t xml:space="preserve"> </w:t>
      </w:r>
      <w:r w:rsidRPr="00855FDC">
        <w:rPr>
          <w:rFonts w:ascii="Sylfaen" w:hAnsi="Sylfaen"/>
          <w:sz w:val="24"/>
        </w:rPr>
        <w:t>պնդում էին, որ ներգրավված չեն եղել թերթ</w:t>
      </w:r>
      <w:r w:rsidR="002860D8" w:rsidRPr="00855FDC">
        <w:rPr>
          <w:rFonts w:ascii="Sylfaen" w:hAnsi="Sylfaen"/>
          <w:sz w:val="24"/>
        </w:rPr>
        <w:t>իկ</w:t>
      </w:r>
      <w:r w:rsidR="00BD4DA5" w:rsidRPr="00855FDC">
        <w:rPr>
          <w:rFonts w:ascii="Sylfaen" w:hAnsi="Sylfaen"/>
          <w:sz w:val="24"/>
        </w:rPr>
        <w:t>ի հրապարակմանը</w:t>
      </w:r>
      <w:r w:rsidR="001A0574" w:rsidRPr="00855FDC">
        <w:rPr>
          <w:rFonts w:ascii="Sylfaen" w:hAnsi="Sylfaen"/>
          <w:sz w:val="24"/>
        </w:rPr>
        <w:t xml:space="preserve"> և</w:t>
      </w:r>
      <w:r w:rsidR="00BD4DA5" w:rsidRPr="00855FDC">
        <w:rPr>
          <w:rFonts w:ascii="Sylfaen" w:hAnsi="Sylfaen"/>
          <w:sz w:val="24"/>
        </w:rPr>
        <w:t xml:space="preserve"> </w:t>
      </w:r>
      <w:r w:rsidR="004D13CE" w:rsidRPr="00855FDC">
        <w:rPr>
          <w:rFonts w:ascii="Sylfaen" w:hAnsi="Sylfaen"/>
          <w:sz w:val="24"/>
        </w:rPr>
        <w:t xml:space="preserve">որ </w:t>
      </w:r>
      <w:r w:rsidR="00BD4DA5" w:rsidRPr="00855FDC">
        <w:rPr>
          <w:rFonts w:ascii="Sylfaen" w:hAnsi="Sylfaen"/>
          <w:sz w:val="24"/>
        </w:rPr>
        <w:t xml:space="preserve">այն ծանր հետևանքներ էր առաջացրել </w:t>
      </w:r>
      <w:r w:rsidR="004D13CE" w:rsidRPr="00855FDC">
        <w:rPr>
          <w:rFonts w:ascii="Sylfaen" w:hAnsi="Sylfaen"/>
          <w:sz w:val="24"/>
        </w:rPr>
        <w:t xml:space="preserve">արշավին մասնակցած այնպիսի </w:t>
      </w:r>
      <w:r w:rsidR="00BD4DA5" w:rsidRPr="00855FDC">
        <w:rPr>
          <w:rFonts w:ascii="Sylfaen" w:hAnsi="Sylfaen"/>
          <w:sz w:val="24"/>
        </w:rPr>
        <w:t xml:space="preserve">մի </w:t>
      </w:r>
      <w:r w:rsidR="004D13CE" w:rsidRPr="00855FDC">
        <w:rPr>
          <w:rFonts w:ascii="Sylfaen" w:hAnsi="Sylfaen"/>
          <w:sz w:val="24"/>
        </w:rPr>
        <w:t>խմբի</w:t>
      </w:r>
      <w:r w:rsidR="00BD4DA5" w:rsidRPr="00855FDC">
        <w:rPr>
          <w:rFonts w:ascii="Sylfaen" w:hAnsi="Sylfaen"/>
          <w:sz w:val="24"/>
        </w:rPr>
        <w:t xml:space="preserve"> համար</w:t>
      </w:r>
      <w:r w:rsidR="004D13CE" w:rsidRPr="00855FDC">
        <w:rPr>
          <w:rFonts w:ascii="Sylfaen" w:hAnsi="Sylfaen"/>
          <w:sz w:val="24"/>
        </w:rPr>
        <w:t xml:space="preserve">, ինչպիսին իրենք էին, </w:t>
      </w:r>
      <w:r w:rsidR="00BD4DA5" w:rsidRPr="00855FDC">
        <w:rPr>
          <w:rFonts w:ascii="Sylfaen" w:hAnsi="Sylfaen"/>
          <w:sz w:val="24"/>
        </w:rPr>
        <w:t xml:space="preserve">որի արդյունքում խափանվել էր հանրային </w:t>
      </w:r>
      <w:r w:rsidR="008F5ECE" w:rsidRPr="00855FDC">
        <w:rPr>
          <w:rFonts w:ascii="Sylfaen" w:hAnsi="Sylfaen"/>
          <w:sz w:val="24"/>
        </w:rPr>
        <w:t>բանավեճ</w:t>
      </w:r>
      <w:r w:rsidR="00BD4DA5" w:rsidRPr="00855FDC">
        <w:rPr>
          <w:rFonts w:ascii="Sylfaen" w:hAnsi="Sylfaen"/>
          <w:sz w:val="24"/>
        </w:rPr>
        <w:t xml:space="preserve">ը, քանի որ </w:t>
      </w:r>
      <w:r w:rsidR="006B7EE5" w:rsidRPr="00855FDC">
        <w:rPr>
          <w:rFonts w:ascii="Sylfaen" w:hAnsi="Sylfaen"/>
          <w:sz w:val="24"/>
        </w:rPr>
        <w:t>նրանցից</w:t>
      </w:r>
      <w:r w:rsidR="00BD4DA5" w:rsidRPr="00855FDC">
        <w:rPr>
          <w:rFonts w:ascii="Sylfaen" w:hAnsi="Sylfaen"/>
          <w:sz w:val="24"/>
        </w:rPr>
        <w:t xml:space="preserve"> </w:t>
      </w:r>
      <w:r w:rsidR="004D13CE" w:rsidRPr="00855FDC">
        <w:rPr>
          <w:rFonts w:ascii="Sylfaen" w:hAnsi="Sylfaen"/>
          <w:sz w:val="24"/>
        </w:rPr>
        <w:t>պահանջ</w:t>
      </w:r>
      <w:r w:rsidR="001A0574" w:rsidRPr="00855FDC">
        <w:rPr>
          <w:rFonts w:ascii="Sylfaen" w:hAnsi="Sylfaen"/>
          <w:sz w:val="24"/>
        </w:rPr>
        <w:t xml:space="preserve">վում էր </w:t>
      </w:r>
      <w:r w:rsidR="004D13CE" w:rsidRPr="00855FDC">
        <w:rPr>
          <w:rFonts w:ascii="Sylfaen" w:hAnsi="Sylfaen"/>
          <w:sz w:val="24"/>
        </w:rPr>
        <w:t xml:space="preserve">ապացուցել </w:t>
      </w:r>
      <w:r w:rsidR="00BD4DA5" w:rsidRPr="00855FDC">
        <w:rPr>
          <w:rFonts w:ascii="Sylfaen" w:hAnsi="Sylfaen"/>
          <w:sz w:val="24"/>
        </w:rPr>
        <w:t>թերթիկում</w:t>
      </w:r>
      <w:r w:rsidR="004D13CE" w:rsidRPr="00855FDC">
        <w:rPr>
          <w:rFonts w:ascii="Sylfaen" w:hAnsi="Sylfaen"/>
          <w:sz w:val="24"/>
        </w:rPr>
        <w:t xml:space="preserve"> ներառված յուրաքանչյուր պնդման իսկությունը:</w:t>
      </w:r>
      <w:r w:rsidR="00CA1B43" w:rsidRPr="00855FDC">
        <w:rPr>
          <w:rFonts w:ascii="Sylfaen" w:hAnsi="Sylfaen"/>
          <w:sz w:val="24"/>
        </w:rPr>
        <w:t xml:space="preserve"> </w:t>
      </w:r>
      <w:r w:rsidR="004D13CE" w:rsidRPr="00855FDC">
        <w:rPr>
          <w:rFonts w:ascii="Sylfaen" w:hAnsi="Sylfaen"/>
          <w:sz w:val="24"/>
        </w:rPr>
        <w:t xml:space="preserve">Նրանք </w:t>
      </w:r>
      <w:r w:rsidR="001A0574" w:rsidRPr="00855FDC">
        <w:rPr>
          <w:rFonts w:ascii="Sylfaen" w:hAnsi="Sylfaen"/>
          <w:sz w:val="24"/>
        </w:rPr>
        <w:t>պնդում</w:t>
      </w:r>
      <w:r w:rsidR="004D13CE" w:rsidRPr="00855FDC">
        <w:rPr>
          <w:rFonts w:ascii="Sylfaen" w:hAnsi="Sylfaen"/>
          <w:sz w:val="24"/>
        </w:rPr>
        <w:t xml:space="preserve"> էին, որ </w:t>
      </w:r>
      <w:r w:rsidR="001A0574" w:rsidRPr="00855FDC">
        <w:rPr>
          <w:rFonts w:ascii="Sylfaen" w:hAnsi="Sylfaen"/>
          <w:sz w:val="24"/>
        </w:rPr>
        <w:t>մի շարք</w:t>
      </w:r>
      <w:r w:rsidR="004D13CE" w:rsidRPr="00855FDC">
        <w:rPr>
          <w:rFonts w:ascii="Sylfaen" w:hAnsi="Sylfaen"/>
          <w:sz w:val="24"/>
        </w:rPr>
        <w:t xml:space="preserve"> երկրներում </w:t>
      </w:r>
      <w:r w:rsidR="001A0574" w:rsidRPr="00855FDC">
        <w:rPr>
          <w:rFonts w:ascii="Sylfaen" w:hAnsi="Sylfaen"/>
          <w:sz w:val="24"/>
        </w:rPr>
        <w:t>գործող</w:t>
      </w:r>
      <w:r w:rsidR="004D13CE" w:rsidRPr="00855FDC">
        <w:rPr>
          <w:rFonts w:ascii="Sylfaen" w:hAnsi="Sylfaen"/>
          <w:sz w:val="24"/>
        </w:rPr>
        <w:t xml:space="preserve"> մեծ ընկերություններին չպետք է թույլատր</w:t>
      </w:r>
      <w:r w:rsidR="001A0574" w:rsidRPr="00855FDC">
        <w:rPr>
          <w:rFonts w:ascii="Sylfaen" w:hAnsi="Sylfaen"/>
          <w:sz w:val="24"/>
        </w:rPr>
        <w:t>ել</w:t>
      </w:r>
      <w:r w:rsidR="004D13CE" w:rsidRPr="00855FDC">
        <w:rPr>
          <w:rFonts w:ascii="Sylfaen" w:hAnsi="Sylfaen"/>
          <w:sz w:val="24"/>
        </w:rPr>
        <w:t xml:space="preserve"> զրպարտության հայցեր ներկայացնել, առնվազն փաստացի ֆինանսական վնասի</w:t>
      </w:r>
      <w:r w:rsidR="00CA1B43" w:rsidRPr="00855FDC">
        <w:rPr>
          <w:rFonts w:ascii="Sylfaen" w:hAnsi="Sylfaen"/>
          <w:sz w:val="24"/>
        </w:rPr>
        <w:t xml:space="preserve"> </w:t>
      </w:r>
      <w:r w:rsidR="004D13CE" w:rsidRPr="00855FDC">
        <w:rPr>
          <w:rFonts w:ascii="Sylfaen" w:hAnsi="Sylfaen"/>
          <w:sz w:val="24"/>
        </w:rPr>
        <w:t>բացակայության պարագայում:</w:t>
      </w:r>
      <w:r w:rsidR="00CA1B43" w:rsidRPr="00855FDC">
        <w:rPr>
          <w:rFonts w:ascii="Sylfaen" w:hAnsi="Sylfaen"/>
          <w:sz w:val="24"/>
        </w:rPr>
        <w:t xml:space="preserve"> </w:t>
      </w:r>
      <w:r w:rsidR="00AC28C9" w:rsidRPr="00855FDC">
        <w:rPr>
          <w:rFonts w:ascii="Sylfaen" w:hAnsi="Sylfaen"/>
          <w:sz w:val="24"/>
        </w:rPr>
        <w:t xml:space="preserve">Դիմումատուն </w:t>
      </w:r>
      <w:r w:rsidR="001A0574" w:rsidRPr="00855FDC">
        <w:rPr>
          <w:rFonts w:ascii="Sylfaen" w:hAnsi="Sylfaen"/>
          <w:sz w:val="24"/>
        </w:rPr>
        <w:t>բողոքու</w:t>
      </w:r>
      <w:r w:rsidR="00AC28C9" w:rsidRPr="00855FDC">
        <w:rPr>
          <w:rFonts w:ascii="Sylfaen" w:hAnsi="Sylfaen"/>
          <w:sz w:val="24"/>
        </w:rPr>
        <w:t>մ էր նաև, որ օրենսդրության համաձայն McDonald</w:t>
      </w:r>
      <w:r w:rsidR="00133BF3">
        <w:rPr>
          <w:rFonts w:ascii="Sylfaen" w:hAnsi="Sylfaen"/>
          <w:sz w:val="24"/>
        </w:rPr>
        <w:t>’</w:t>
      </w:r>
      <w:r w:rsidR="00AC28C9" w:rsidRPr="00855FDC">
        <w:rPr>
          <w:rFonts w:ascii="Sylfaen" w:hAnsi="Sylfaen"/>
          <w:sz w:val="24"/>
        </w:rPr>
        <w:t xml:space="preserve">s-ը կարող էր հայց </w:t>
      </w:r>
      <w:r w:rsidR="008E4A81" w:rsidRPr="00855FDC">
        <w:rPr>
          <w:rFonts w:ascii="Sylfaen" w:hAnsi="Sylfaen"/>
          <w:sz w:val="24"/>
        </w:rPr>
        <w:t>ներկայացնել</w:t>
      </w:r>
      <w:r w:rsidR="00AC28C9" w:rsidRPr="00855FDC">
        <w:rPr>
          <w:rFonts w:ascii="Sylfaen" w:hAnsi="Sylfaen"/>
          <w:sz w:val="24"/>
        </w:rPr>
        <w:t xml:space="preserve"> և դատարանում հաղթանակ տանել, այն դեպքում, երբ նյութի մեծ մասն արդեն հանրային տեղեկատվության </w:t>
      </w:r>
      <w:r w:rsidR="008E4A81" w:rsidRPr="00855FDC">
        <w:rPr>
          <w:rFonts w:ascii="Sylfaen" w:hAnsi="Sylfaen"/>
          <w:sz w:val="24"/>
        </w:rPr>
        <w:t>տիրույթում</w:t>
      </w:r>
      <w:r w:rsidR="00AC28C9" w:rsidRPr="00855FDC">
        <w:rPr>
          <w:rFonts w:ascii="Sylfaen" w:hAnsi="Sylfaen"/>
          <w:sz w:val="24"/>
        </w:rPr>
        <w:t xml:space="preserve"> էր:</w:t>
      </w:r>
    </w:p>
    <w:p w:rsidR="00943EE5" w:rsidRPr="00855FDC" w:rsidRDefault="00943EE5" w:rsidP="00922AF3">
      <w:pPr>
        <w:pStyle w:val="ClinContent"/>
        <w:spacing w:before="0"/>
        <w:rPr>
          <w:rFonts w:ascii="Sylfaen" w:hAnsi="Sylfaen"/>
          <w:sz w:val="24"/>
        </w:rPr>
      </w:pPr>
    </w:p>
    <w:p w:rsidR="009D7B9A" w:rsidRDefault="00AC28C9" w:rsidP="00922AF3">
      <w:pPr>
        <w:pStyle w:val="ClinContent"/>
        <w:spacing w:before="0"/>
        <w:rPr>
          <w:rFonts w:ascii="Sylfaen" w:hAnsi="Sylfaen"/>
          <w:sz w:val="24"/>
        </w:rPr>
      </w:pPr>
      <w:r w:rsidRPr="00855FDC">
        <w:rPr>
          <w:rFonts w:ascii="Sylfaen" w:hAnsi="Sylfaen"/>
          <w:sz w:val="24"/>
        </w:rPr>
        <w:t>Վերաքննիչ դատարանի հետ համաձայնելով` Դատարանը գտավ, որ այն փաստարկը, որ նյութն արդեն իսկ հանրային տիրույթում էր</w:t>
      </w:r>
      <w:r w:rsidR="00B95457" w:rsidRPr="00855FDC">
        <w:rPr>
          <w:rFonts w:ascii="Sylfaen" w:hAnsi="Sylfaen"/>
          <w:sz w:val="24"/>
        </w:rPr>
        <w:t>,</w:t>
      </w:r>
      <w:r w:rsidR="00A82976" w:rsidRPr="00855FDC">
        <w:rPr>
          <w:rFonts w:ascii="Sylfaen" w:hAnsi="Sylfaen"/>
          <w:sz w:val="24"/>
        </w:rPr>
        <w:t xml:space="preserve"> համոզիչ չէր, քանի որ նշված նյութերը կամ չէին պաշտպանում թերթ</w:t>
      </w:r>
      <w:r w:rsidR="008F5ECE" w:rsidRPr="00855FDC">
        <w:rPr>
          <w:rFonts w:ascii="Sylfaen" w:hAnsi="Sylfaen"/>
          <w:sz w:val="24"/>
        </w:rPr>
        <w:t>իկ</w:t>
      </w:r>
      <w:r w:rsidR="00A82976" w:rsidRPr="00855FDC">
        <w:rPr>
          <w:rFonts w:ascii="Sylfaen" w:hAnsi="Sylfaen"/>
          <w:sz w:val="24"/>
        </w:rPr>
        <w:t>ում առկա պնդումները</w:t>
      </w:r>
      <w:r w:rsidR="00CA1B43" w:rsidRPr="00855FDC">
        <w:rPr>
          <w:rFonts w:ascii="Sylfaen" w:hAnsi="Sylfaen"/>
          <w:sz w:val="24"/>
        </w:rPr>
        <w:t xml:space="preserve"> </w:t>
      </w:r>
      <w:r w:rsidR="00A82976" w:rsidRPr="00855FDC">
        <w:rPr>
          <w:rFonts w:ascii="Sylfaen" w:hAnsi="Sylfaen"/>
          <w:sz w:val="24"/>
        </w:rPr>
        <w:t>կամ դրանցում ևս հիմնավորման պակաս կար:</w:t>
      </w:r>
      <w:r w:rsidR="00B95457" w:rsidRPr="00855FDC">
        <w:rPr>
          <w:rFonts w:ascii="Sylfaen" w:hAnsi="Sylfaen"/>
          <w:sz w:val="24"/>
        </w:rPr>
        <w:t xml:space="preserve"> </w:t>
      </w:r>
      <w:r w:rsidR="00DD33AD" w:rsidRPr="00855FDC">
        <w:rPr>
          <w:rFonts w:ascii="Sylfaen" w:hAnsi="Sylfaen"/>
          <w:sz w:val="24"/>
        </w:rPr>
        <w:t>Ինչ վերաբե</w:t>
      </w:r>
      <w:r w:rsidR="008F5ECE" w:rsidRPr="00855FDC">
        <w:rPr>
          <w:rFonts w:ascii="Sylfaen" w:hAnsi="Sylfaen"/>
          <w:sz w:val="24"/>
        </w:rPr>
        <w:t>ր</w:t>
      </w:r>
      <w:r w:rsidR="00DD33AD" w:rsidRPr="00855FDC">
        <w:rPr>
          <w:rFonts w:ascii="Sylfaen" w:hAnsi="Sylfaen"/>
          <w:sz w:val="24"/>
        </w:rPr>
        <w:t>ում է</w:t>
      </w:r>
      <w:r w:rsidR="00007B81" w:rsidRPr="00855FDC">
        <w:rPr>
          <w:rFonts w:ascii="Sylfaen" w:hAnsi="Sylfaen"/>
          <w:sz w:val="24"/>
        </w:rPr>
        <w:t xml:space="preserve"> </w:t>
      </w:r>
      <w:r w:rsidR="00B32A5C" w:rsidRPr="00855FDC">
        <w:rPr>
          <w:rFonts w:ascii="Sylfaen" w:hAnsi="Sylfaen"/>
          <w:sz w:val="24"/>
        </w:rPr>
        <w:t xml:space="preserve">ապացուցման բեռին վերաբերող </w:t>
      </w:r>
      <w:r w:rsidR="008F5ECE" w:rsidRPr="00855FDC">
        <w:rPr>
          <w:rFonts w:ascii="Sylfaen" w:hAnsi="Sylfaen"/>
          <w:sz w:val="24"/>
        </w:rPr>
        <w:t>հարց</w:t>
      </w:r>
      <w:r w:rsidR="00B32A5C" w:rsidRPr="00855FDC">
        <w:rPr>
          <w:rFonts w:ascii="Sylfaen" w:hAnsi="Sylfaen"/>
          <w:sz w:val="24"/>
        </w:rPr>
        <w:t>ին,</w:t>
      </w:r>
      <w:r w:rsidR="008F5ECE" w:rsidRPr="00855FDC">
        <w:rPr>
          <w:rFonts w:ascii="Sylfaen" w:hAnsi="Sylfaen"/>
          <w:sz w:val="24"/>
        </w:rPr>
        <w:t xml:space="preserve"> ապա</w:t>
      </w:r>
      <w:r w:rsidR="00B32A5C" w:rsidRPr="00855FDC">
        <w:rPr>
          <w:rFonts w:ascii="Sylfaen" w:hAnsi="Sylfaen"/>
          <w:sz w:val="24"/>
        </w:rPr>
        <w:t xml:space="preserve"> այն սկզբունքորեն </w:t>
      </w:r>
      <w:r w:rsidR="008F5ECE" w:rsidRPr="00855FDC">
        <w:rPr>
          <w:rFonts w:ascii="Sylfaen" w:hAnsi="Sylfaen"/>
          <w:sz w:val="24"/>
        </w:rPr>
        <w:t xml:space="preserve">10-րդ հոդվածի </w:t>
      </w:r>
      <w:r w:rsidR="00B32A5C" w:rsidRPr="00855FDC">
        <w:rPr>
          <w:rFonts w:ascii="Sylfaen" w:hAnsi="Sylfaen"/>
          <w:sz w:val="24"/>
        </w:rPr>
        <w:t xml:space="preserve">հետ անհամատեղելի չէ, թույլատրելի է </w:t>
      </w:r>
      <w:r w:rsidR="000979DD" w:rsidRPr="00855FDC">
        <w:rPr>
          <w:rFonts w:ascii="Sylfaen" w:hAnsi="Sylfaen"/>
          <w:sz w:val="24"/>
        </w:rPr>
        <w:t xml:space="preserve">զրպարտության գործերի </w:t>
      </w:r>
      <w:r w:rsidR="008F5ECE" w:rsidRPr="00855FDC">
        <w:rPr>
          <w:rFonts w:ascii="Sylfaen" w:hAnsi="Sylfaen"/>
          <w:sz w:val="24"/>
        </w:rPr>
        <w:t xml:space="preserve">քննության ընթացքում </w:t>
      </w:r>
      <w:r w:rsidR="00D66981" w:rsidRPr="00855FDC">
        <w:rPr>
          <w:rFonts w:ascii="Sylfaen" w:hAnsi="Sylfaen"/>
          <w:sz w:val="24"/>
        </w:rPr>
        <w:t>հրապարակված արտահայտության ճշմարտացիությունն ապացուցելու համար</w:t>
      </w:r>
      <w:r w:rsidR="00CA1B43" w:rsidRPr="00855FDC">
        <w:rPr>
          <w:rFonts w:ascii="Sylfaen" w:hAnsi="Sylfaen"/>
          <w:sz w:val="24"/>
        </w:rPr>
        <w:t xml:space="preserve"> </w:t>
      </w:r>
      <w:r w:rsidR="00B32A5C" w:rsidRPr="00855FDC">
        <w:rPr>
          <w:rFonts w:ascii="Sylfaen" w:hAnsi="Sylfaen"/>
          <w:sz w:val="24"/>
        </w:rPr>
        <w:t>ապացուցման բեռը դնել</w:t>
      </w:r>
      <w:r w:rsidR="00CA1B43" w:rsidRPr="00855FDC">
        <w:rPr>
          <w:rFonts w:ascii="Sylfaen" w:hAnsi="Sylfaen"/>
          <w:sz w:val="24"/>
        </w:rPr>
        <w:t xml:space="preserve"> </w:t>
      </w:r>
      <w:r w:rsidR="000979DD" w:rsidRPr="00855FDC">
        <w:rPr>
          <w:rFonts w:ascii="Sylfaen" w:hAnsi="Sylfaen"/>
          <w:sz w:val="24"/>
        </w:rPr>
        <w:t>պատասխանողի վրա</w:t>
      </w:r>
      <w:r w:rsidR="008E4A81" w:rsidRPr="00855FDC">
        <w:rPr>
          <w:rFonts w:ascii="Sylfaen" w:hAnsi="Sylfaen"/>
          <w:sz w:val="24"/>
        </w:rPr>
        <w:t>, որը</w:t>
      </w:r>
      <w:r w:rsidR="00D66981" w:rsidRPr="00855FDC">
        <w:rPr>
          <w:rFonts w:ascii="Sylfaen" w:hAnsi="Sylfaen"/>
          <w:sz w:val="24"/>
        </w:rPr>
        <w:t xml:space="preserve"> քաղաքացիական իրավունքի </w:t>
      </w:r>
      <w:r w:rsidR="008F5ECE" w:rsidRPr="00855FDC">
        <w:rPr>
          <w:rFonts w:ascii="Sylfaen" w:hAnsi="Sylfaen"/>
          <w:sz w:val="24"/>
        </w:rPr>
        <w:t>սկզբունք</w:t>
      </w:r>
      <w:r w:rsidR="00D66981" w:rsidRPr="00855FDC">
        <w:rPr>
          <w:rFonts w:ascii="Sylfaen" w:hAnsi="Sylfaen"/>
          <w:sz w:val="24"/>
        </w:rPr>
        <w:t xml:space="preserve"> է</w:t>
      </w:r>
      <w:r w:rsidR="00B32A5C" w:rsidRPr="00855FDC">
        <w:rPr>
          <w:rFonts w:ascii="Sylfaen" w:hAnsi="Sylfaen"/>
          <w:sz w:val="24"/>
        </w:rPr>
        <w:t>:</w:t>
      </w:r>
      <w:r w:rsidR="00CA1B43" w:rsidRPr="00855FDC">
        <w:rPr>
          <w:rFonts w:ascii="Sylfaen" w:hAnsi="Sylfaen"/>
          <w:sz w:val="24"/>
        </w:rPr>
        <w:t xml:space="preserve"> </w:t>
      </w:r>
      <w:r w:rsidR="005E7640" w:rsidRPr="00855FDC">
        <w:rPr>
          <w:rFonts w:ascii="Sylfaen" w:hAnsi="Sylfaen"/>
          <w:sz w:val="24"/>
        </w:rPr>
        <w:t>Ե</w:t>
      </w:r>
      <w:r w:rsidR="008F5ECE" w:rsidRPr="00855FDC">
        <w:rPr>
          <w:rFonts w:ascii="Sylfaen" w:hAnsi="Sylfaen"/>
          <w:sz w:val="24"/>
        </w:rPr>
        <w:t>վ ոչ էլ այն փաստը, որ հայցվորը մի շարք երկրներում գործող մեծ ընկերություն</w:t>
      </w:r>
      <w:r w:rsidR="005E7640" w:rsidRPr="00855FDC">
        <w:rPr>
          <w:rFonts w:ascii="Sylfaen" w:hAnsi="Sylfaen"/>
          <w:sz w:val="24"/>
        </w:rPr>
        <w:t xml:space="preserve"> է</w:t>
      </w:r>
      <w:r w:rsidR="008F5ECE" w:rsidRPr="00855FDC">
        <w:rPr>
          <w:rFonts w:ascii="Sylfaen" w:hAnsi="Sylfaen"/>
          <w:sz w:val="24"/>
        </w:rPr>
        <w:t>,</w:t>
      </w:r>
      <w:r w:rsidR="005E7640" w:rsidRPr="00855FDC">
        <w:rPr>
          <w:rFonts w:ascii="Sylfaen" w:hAnsi="Sylfaen"/>
          <w:sz w:val="24"/>
        </w:rPr>
        <w:t xml:space="preserve"> զրկում</w:t>
      </w:r>
      <w:r w:rsidR="008E4A81" w:rsidRPr="00855FDC">
        <w:rPr>
          <w:rFonts w:ascii="Sylfaen" w:hAnsi="Sylfaen"/>
          <w:sz w:val="24"/>
        </w:rPr>
        <w:t xml:space="preserve"> է վերջինիս պաշտպանվելու զրպարտիչ</w:t>
      </w:r>
      <w:r w:rsidR="005E7640" w:rsidRPr="00855FDC">
        <w:rPr>
          <w:rFonts w:ascii="Sylfaen" w:hAnsi="Sylfaen"/>
          <w:sz w:val="24"/>
        </w:rPr>
        <w:t xml:space="preserve"> պնդումներից կամ ոչ էլ ենթադրում, որ դիմումատուները կ</w:t>
      </w:r>
      <w:r w:rsidR="008E4A81" w:rsidRPr="00855FDC">
        <w:rPr>
          <w:rFonts w:ascii="Sylfaen" w:hAnsi="Sylfaen"/>
          <w:sz w:val="24"/>
        </w:rPr>
        <w:t xml:space="preserve">արիք չունեն ապացուցելու իրենց </w:t>
      </w:r>
      <w:r w:rsidR="005E7640" w:rsidRPr="00855FDC">
        <w:rPr>
          <w:rFonts w:ascii="Sylfaen" w:hAnsi="Sylfaen"/>
          <w:sz w:val="24"/>
        </w:rPr>
        <w:t xml:space="preserve">կողմից արված արտահայտությունների ճշմարտացիությունը: </w:t>
      </w:r>
      <w:r w:rsidR="008235CA" w:rsidRPr="00855FDC">
        <w:rPr>
          <w:rFonts w:ascii="Sylfaen" w:hAnsi="Sylfaen"/>
          <w:sz w:val="24"/>
        </w:rPr>
        <w:t xml:space="preserve">Ճիշտ է, որ մեծ և հանրային ճանաչում ունեցող ընկերությունները </w:t>
      </w:r>
      <w:r w:rsidR="008E4A81" w:rsidRPr="00855FDC">
        <w:rPr>
          <w:rFonts w:ascii="Sylfaen" w:hAnsi="Sylfaen"/>
          <w:sz w:val="24"/>
        </w:rPr>
        <w:t xml:space="preserve">ավելի </w:t>
      </w:r>
      <w:r w:rsidR="008235CA" w:rsidRPr="00855FDC">
        <w:rPr>
          <w:rFonts w:ascii="Sylfaen" w:hAnsi="Sylfaen"/>
          <w:sz w:val="24"/>
        </w:rPr>
        <w:t>բաց են</w:t>
      </w:r>
      <w:r w:rsidR="00455661" w:rsidRPr="00855FDC">
        <w:rPr>
          <w:rFonts w:ascii="Sylfaen" w:hAnsi="Sylfaen"/>
          <w:sz w:val="24"/>
        </w:rPr>
        <w:t xml:space="preserve"> իրենց գործողությունների վերաբերյալ</w:t>
      </w:r>
      <w:r w:rsidR="008E4A81" w:rsidRPr="00855FDC">
        <w:rPr>
          <w:rFonts w:ascii="Sylfaen" w:hAnsi="Sylfaen"/>
          <w:sz w:val="24"/>
        </w:rPr>
        <w:t xml:space="preserve"> հանրային քննադատությունների </w:t>
      </w:r>
      <w:r w:rsidR="008235CA" w:rsidRPr="00855FDC">
        <w:rPr>
          <w:rFonts w:ascii="Sylfaen" w:hAnsi="Sylfaen"/>
          <w:sz w:val="24"/>
        </w:rPr>
        <w:t>համար</w:t>
      </w:r>
      <w:r w:rsidR="003025C8" w:rsidRPr="00855FDC">
        <w:rPr>
          <w:rFonts w:ascii="Sylfaen" w:hAnsi="Sylfaen"/>
          <w:sz w:val="24"/>
        </w:rPr>
        <w:t>,</w:t>
      </w:r>
      <w:r w:rsidR="00455661" w:rsidRPr="00855FDC">
        <w:rPr>
          <w:rFonts w:ascii="Sylfaen" w:hAnsi="Sylfaen"/>
          <w:sz w:val="24"/>
        </w:rPr>
        <w:t xml:space="preserve"> </w:t>
      </w:r>
      <w:r w:rsidR="003025C8" w:rsidRPr="00855FDC">
        <w:rPr>
          <w:rFonts w:ascii="Sylfaen" w:hAnsi="Sylfaen"/>
          <w:sz w:val="24"/>
        </w:rPr>
        <w:t>և այսպիսի ընկերությունների վերաբերյալ արված ընդունելի քննադատությունների սահմանն ավելի լայն է:</w:t>
      </w:r>
      <w:r w:rsidR="00434AC1" w:rsidRPr="00855FDC">
        <w:rPr>
          <w:rFonts w:ascii="Sylfaen" w:hAnsi="Sylfaen"/>
          <w:sz w:val="24"/>
        </w:rPr>
        <w:t xml:space="preserve"> Սակայն </w:t>
      </w:r>
      <w:r w:rsidR="0061780C" w:rsidRPr="00855FDC">
        <w:rPr>
          <w:rFonts w:ascii="Sylfaen" w:hAnsi="Sylfaen"/>
          <w:sz w:val="24"/>
        </w:rPr>
        <w:t>ի լրումն</w:t>
      </w:r>
      <w:r w:rsidR="00434AC1" w:rsidRPr="00855FDC">
        <w:rPr>
          <w:rFonts w:ascii="Sylfaen" w:hAnsi="Sylfaen"/>
          <w:sz w:val="24"/>
        </w:rPr>
        <w:t xml:space="preserve"> գործարար ոլորտի պրակտիկայի մասին հանրային բանավեճի նկատմամբ հետաքրքրությ</w:t>
      </w:r>
      <w:r w:rsidR="005234FA" w:rsidRPr="00855FDC">
        <w:rPr>
          <w:rFonts w:ascii="Sylfaen" w:hAnsi="Sylfaen"/>
          <w:sz w:val="24"/>
        </w:rPr>
        <w:t>ան,</w:t>
      </w:r>
      <w:r w:rsidR="00CA1B43" w:rsidRPr="00855FDC">
        <w:rPr>
          <w:rFonts w:ascii="Sylfaen" w:hAnsi="Sylfaen"/>
          <w:sz w:val="24"/>
        </w:rPr>
        <w:t xml:space="preserve"> </w:t>
      </w:r>
      <w:r w:rsidR="0061780C" w:rsidRPr="00855FDC">
        <w:rPr>
          <w:rFonts w:ascii="Sylfaen" w:hAnsi="Sylfaen"/>
          <w:sz w:val="24"/>
        </w:rPr>
        <w:t>կա նաև սրա հետ մրցակցող շահ` պաշտպանելու</w:t>
      </w:r>
      <w:r w:rsidR="00CA1B43" w:rsidRPr="00855FDC">
        <w:rPr>
          <w:rFonts w:ascii="Sylfaen" w:hAnsi="Sylfaen"/>
          <w:sz w:val="24"/>
        </w:rPr>
        <w:t xml:space="preserve"> </w:t>
      </w:r>
      <w:r w:rsidR="0061780C" w:rsidRPr="00855FDC">
        <w:rPr>
          <w:rFonts w:ascii="Sylfaen" w:hAnsi="Sylfaen"/>
          <w:sz w:val="24"/>
        </w:rPr>
        <w:t xml:space="preserve">առևտրային հաջողությունները և </w:t>
      </w:r>
      <w:r w:rsidR="007A6454" w:rsidRPr="00855FDC">
        <w:rPr>
          <w:rFonts w:ascii="Sylfaen" w:hAnsi="Sylfaen"/>
          <w:sz w:val="24"/>
        </w:rPr>
        <w:t>ընկերությունների կենսունակությունը</w:t>
      </w:r>
      <w:r w:rsidR="005234FA" w:rsidRPr="00855FDC">
        <w:rPr>
          <w:rFonts w:ascii="Sylfaen" w:hAnsi="Sylfaen"/>
          <w:sz w:val="24"/>
        </w:rPr>
        <w:t>`</w:t>
      </w:r>
      <w:r w:rsidR="007956B9" w:rsidRPr="00855FDC">
        <w:rPr>
          <w:rFonts w:ascii="Sylfaen" w:hAnsi="Sylfaen"/>
          <w:sz w:val="24"/>
        </w:rPr>
        <w:t xml:space="preserve"> ի շահ այդ ընկերությունների բաժնետերերի</w:t>
      </w:r>
      <w:r w:rsidR="00CA1B43" w:rsidRPr="00855FDC">
        <w:rPr>
          <w:rFonts w:ascii="Sylfaen" w:hAnsi="Sylfaen"/>
          <w:sz w:val="24"/>
        </w:rPr>
        <w:t xml:space="preserve"> </w:t>
      </w:r>
      <w:r w:rsidR="007956B9" w:rsidRPr="00855FDC">
        <w:rPr>
          <w:rFonts w:ascii="Sylfaen" w:hAnsi="Sylfaen"/>
          <w:sz w:val="24"/>
        </w:rPr>
        <w:t xml:space="preserve">և աշխատակիցների, սակայն նաև` ավելի լայն տնտեսական բարօրության: </w:t>
      </w:r>
      <w:r w:rsidR="005234FA" w:rsidRPr="00855FDC">
        <w:rPr>
          <w:rFonts w:ascii="Sylfaen" w:hAnsi="Sylfaen"/>
          <w:sz w:val="24"/>
        </w:rPr>
        <w:t>Այդ իսկ պատճառով պ</w:t>
      </w:r>
      <w:r w:rsidR="007956B9" w:rsidRPr="00855FDC">
        <w:rPr>
          <w:rFonts w:ascii="Sylfaen" w:hAnsi="Sylfaen"/>
          <w:sz w:val="24"/>
        </w:rPr>
        <w:t>ետությունը</w:t>
      </w:r>
      <w:r w:rsidR="005234FA" w:rsidRPr="00855FDC">
        <w:rPr>
          <w:rFonts w:ascii="Sylfaen" w:hAnsi="Sylfaen"/>
          <w:sz w:val="24"/>
        </w:rPr>
        <w:t xml:space="preserve"> վայելում է հայեցողության որոշակի շրջանակ` ներպետական օրենսդրությամբ սահմանելու միջոցներ, որոնք ընկերությանը կօգնեն վիճարկելու հնչեցված արտահայտության ճշմարտացիությունը և սահմանափակելու </w:t>
      </w:r>
      <w:r w:rsidR="008E4A81" w:rsidRPr="00855FDC">
        <w:rPr>
          <w:rFonts w:ascii="Sylfaen" w:hAnsi="Sylfaen"/>
          <w:sz w:val="24"/>
        </w:rPr>
        <w:t>վերջիններիս</w:t>
      </w:r>
      <w:r w:rsidR="005234FA" w:rsidRPr="00855FDC">
        <w:rPr>
          <w:rFonts w:ascii="Sylfaen" w:hAnsi="Sylfaen"/>
          <w:sz w:val="24"/>
        </w:rPr>
        <w:t>` գործարար համբավին հասց</w:t>
      </w:r>
      <w:r w:rsidR="008E4A81" w:rsidRPr="00855FDC">
        <w:rPr>
          <w:rFonts w:ascii="Sylfaen" w:hAnsi="Sylfaen"/>
          <w:sz w:val="24"/>
        </w:rPr>
        <w:t>վ</w:t>
      </w:r>
      <w:r w:rsidR="005234FA" w:rsidRPr="00855FDC">
        <w:rPr>
          <w:rFonts w:ascii="Sylfaen" w:hAnsi="Sylfaen"/>
          <w:sz w:val="24"/>
        </w:rPr>
        <w:t>ող հնարավոր վտանգի ռիսկը:</w:t>
      </w:r>
    </w:p>
    <w:p w:rsidR="00943EE5" w:rsidRPr="00855FDC" w:rsidRDefault="00943EE5" w:rsidP="00922AF3">
      <w:pPr>
        <w:pStyle w:val="ClinContent"/>
        <w:spacing w:before="0"/>
        <w:rPr>
          <w:rFonts w:ascii="Sylfaen" w:hAnsi="Sylfaen"/>
          <w:sz w:val="24"/>
        </w:rPr>
      </w:pPr>
    </w:p>
    <w:p w:rsidR="00FC38F5" w:rsidRPr="00855FDC" w:rsidRDefault="005234FA" w:rsidP="00922AF3">
      <w:pPr>
        <w:pStyle w:val="ClinContent"/>
        <w:spacing w:before="0"/>
        <w:rPr>
          <w:rFonts w:ascii="Sylfaen" w:hAnsi="Sylfaen"/>
          <w:sz w:val="24"/>
        </w:rPr>
      </w:pPr>
      <w:r w:rsidRPr="00855FDC">
        <w:rPr>
          <w:rFonts w:ascii="Sylfaen" w:hAnsi="Sylfaen"/>
          <w:sz w:val="24"/>
        </w:rPr>
        <w:lastRenderedPageBreak/>
        <w:t xml:space="preserve">Սակայն եթե պետությունը որոշում է կայացրել կորպորատիվ մարմնին շնորհել այդպիսի պաշտպանություն, ապա ազատ արտահայտվելու և բաց բանավեճի </w:t>
      </w:r>
      <w:r w:rsidR="003F5282" w:rsidRPr="00855FDC">
        <w:rPr>
          <w:rFonts w:ascii="Sylfaen" w:hAnsi="Sylfaen"/>
          <w:sz w:val="24"/>
        </w:rPr>
        <w:t>հավասարակշռման շահը երաշխավորելու</w:t>
      </w:r>
      <w:r w:rsidRPr="00855FDC">
        <w:rPr>
          <w:rFonts w:ascii="Sylfaen" w:hAnsi="Sylfaen"/>
          <w:sz w:val="24"/>
        </w:rPr>
        <w:t xml:space="preserve"> նպատակով կարևոր է</w:t>
      </w:r>
      <w:r w:rsidR="003F5282" w:rsidRPr="00855FDC">
        <w:rPr>
          <w:rFonts w:ascii="Sylfaen" w:hAnsi="Sylfaen"/>
          <w:sz w:val="24"/>
        </w:rPr>
        <w:t xml:space="preserve"> ապահովել</w:t>
      </w:r>
      <w:r w:rsidRPr="00855FDC">
        <w:rPr>
          <w:rFonts w:ascii="Sylfaen" w:hAnsi="Sylfaen"/>
          <w:sz w:val="24"/>
        </w:rPr>
        <w:t xml:space="preserve"> </w:t>
      </w:r>
      <w:r w:rsidR="00B51FD3" w:rsidRPr="00855FDC">
        <w:rPr>
          <w:rFonts w:ascii="Sylfaen" w:hAnsi="Sylfaen"/>
          <w:sz w:val="24"/>
        </w:rPr>
        <w:t>դատավարության անաչառության</w:t>
      </w:r>
      <w:r w:rsidRPr="00855FDC">
        <w:rPr>
          <w:rFonts w:ascii="Sylfaen" w:hAnsi="Sylfaen"/>
          <w:sz w:val="24"/>
        </w:rPr>
        <w:t xml:space="preserve"> </w:t>
      </w:r>
      <w:r w:rsidR="003F5282" w:rsidRPr="00855FDC">
        <w:rPr>
          <w:rFonts w:ascii="Sylfaen" w:hAnsi="Sylfaen"/>
          <w:sz w:val="24"/>
        </w:rPr>
        <w:t>առկայությունը</w:t>
      </w:r>
      <w:r w:rsidRPr="00855FDC">
        <w:rPr>
          <w:rFonts w:ascii="Sylfaen" w:hAnsi="Sylfaen"/>
          <w:sz w:val="24"/>
        </w:rPr>
        <w:t xml:space="preserve"> և </w:t>
      </w:r>
      <w:r w:rsidR="0024273B" w:rsidRPr="00855FDC">
        <w:rPr>
          <w:rFonts w:ascii="Sylfaen" w:hAnsi="Sylfaen"/>
          <w:sz w:val="24"/>
        </w:rPr>
        <w:t>մրցակցային դատավարության մասնակիցների</w:t>
      </w:r>
      <w:r w:rsidRPr="00855FDC">
        <w:rPr>
          <w:rFonts w:ascii="Sylfaen" w:hAnsi="Sylfaen"/>
          <w:sz w:val="24"/>
        </w:rPr>
        <w:t xml:space="preserve"> </w:t>
      </w:r>
      <w:r w:rsidR="0024273B" w:rsidRPr="00855FDC">
        <w:rPr>
          <w:rFonts w:ascii="Sylfaen" w:hAnsi="Sylfaen"/>
          <w:sz w:val="24"/>
        </w:rPr>
        <w:t>իրավա</w:t>
      </w:r>
      <w:r w:rsidRPr="00855FDC">
        <w:rPr>
          <w:rFonts w:ascii="Sylfaen" w:hAnsi="Sylfaen"/>
          <w:sz w:val="24"/>
        </w:rPr>
        <w:t>հավասար</w:t>
      </w:r>
      <w:r w:rsidR="0024273B" w:rsidRPr="00855FDC">
        <w:rPr>
          <w:rFonts w:ascii="Sylfaen" w:hAnsi="Sylfaen"/>
          <w:sz w:val="24"/>
        </w:rPr>
        <w:t>ության</w:t>
      </w:r>
      <w:r w:rsidRPr="00855FDC">
        <w:rPr>
          <w:rFonts w:ascii="Sylfaen" w:hAnsi="Sylfaen"/>
          <w:sz w:val="24"/>
        </w:rPr>
        <w:t xml:space="preserve"> իրավունքները</w:t>
      </w:r>
      <w:r w:rsidR="003F5282" w:rsidRPr="00855FDC">
        <w:rPr>
          <w:rFonts w:ascii="Sylfaen" w:hAnsi="Sylfaen"/>
          <w:sz w:val="24"/>
        </w:rPr>
        <w:t xml:space="preserve">: </w:t>
      </w:r>
      <w:r w:rsidR="00ED47A3" w:rsidRPr="00855FDC">
        <w:rPr>
          <w:rFonts w:ascii="Sylfaen" w:hAnsi="Sylfaen"/>
          <w:sz w:val="24"/>
        </w:rPr>
        <w:t xml:space="preserve">Որքան ավելի համընդհանուր </w:t>
      </w:r>
      <w:r w:rsidR="00086BA8" w:rsidRPr="00855FDC">
        <w:rPr>
          <w:rFonts w:ascii="Sylfaen" w:hAnsi="Sylfaen"/>
          <w:sz w:val="24"/>
        </w:rPr>
        <w:t>լինի</w:t>
      </w:r>
      <w:r w:rsidR="00ED47A3" w:rsidRPr="00855FDC">
        <w:rPr>
          <w:rFonts w:ascii="Sylfaen" w:hAnsi="Sylfaen"/>
          <w:sz w:val="24"/>
        </w:rPr>
        <w:t xml:space="preserve"> հզոր </w:t>
      </w:r>
      <w:r w:rsidR="00086BA8" w:rsidRPr="00855FDC">
        <w:rPr>
          <w:rFonts w:ascii="Sylfaen" w:hAnsi="Sylfaen"/>
          <w:sz w:val="24"/>
        </w:rPr>
        <w:t>առևտրային կազմակերպութ</w:t>
      </w:r>
      <w:r w:rsidR="00ED47A3" w:rsidRPr="00855FDC">
        <w:rPr>
          <w:rFonts w:ascii="Sylfaen" w:hAnsi="Sylfaen"/>
          <w:sz w:val="24"/>
        </w:rPr>
        <w:t>յ</w:t>
      </w:r>
      <w:r w:rsidR="00086BA8" w:rsidRPr="00855FDC">
        <w:rPr>
          <w:rFonts w:ascii="Sylfaen" w:hAnsi="Sylfaen"/>
          <w:sz w:val="24"/>
        </w:rPr>
        <w:t>ո</w:t>
      </w:r>
      <w:r w:rsidR="00ED47A3" w:rsidRPr="00855FDC">
        <w:rPr>
          <w:rFonts w:ascii="Sylfaen" w:hAnsi="Sylfaen"/>
          <w:sz w:val="24"/>
        </w:rPr>
        <w:t>ւնների</w:t>
      </w:r>
      <w:r w:rsidR="00086BA8" w:rsidRPr="00855FDC">
        <w:rPr>
          <w:rFonts w:ascii="Sylfaen" w:hAnsi="Sylfaen"/>
          <w:sz w:val="24"/>
        </w:rPr>
        <w:t xml:space="preserve"> գործունեության մասին</w:t>
      </w:r>
      <w:r w:rsidR="00ED47A3" w:rsidRPr="00855FDC">
        <w:rPr>
          <w:rFonts w:ascii="Sylfaen" w:hAnsi="Sylfaen"/>
          <w:sz w:val="24"/>
        </w:rPr>
        <w:t xml:space="preserve"> տեղեկատվություն և գաղափարների տարածման </w:t>
      </w:r>
      <w:r w:rsidR="00086BA8" w:rsidRPr="00855FDC">
        <w:rPr>
          <w:rFonts w:ascii="Sylfaen" w:hAnsi="Sylfaen"/>
          <w:sz w:val="24"/>
        </w:rPr>
        <w:t>հանրային հետաքրքրությունը, այնքան ավելի կարևոր է ուշադրություն դարձնել մյուսների վրա դրա «</w:t>
      </w:r>
      <w:r w:rsidR="00B51FD3" w:rsidRPr="00855FDC">
        <w:rPr>
          <w:rFonts w:ascii="Sylfaen" w:hAnsi="Sylfaen"/>
          <w:sz w:val="24"/>
        </w:rPr>
        <w:t>սառեցնող</w:t>
      </w:r>
      <w:r w:rsidR="00086BA8" w:rsidRPr="00855FDC">
        <w:rPr>
          <w:rFonts w:ascii="Sylfaen" w:hAnsi="Sylfaen"/>
          <w:sz w:val="24"/>
        </w:rPr>
        <w:t>» ազդեցությանը, որն այս համատեքստում նույնպես կարևոր գործոն է:</w:t>
      </w:r>
      <w:r w:rsidR="00CA1B43" w:rsidRPr="00855FDC">
        <w:rPr>
          <w:rFonts w:ascii="Sylfaen" w:hAnsi="Sylfaen"/>
          <w:sz w:val="24"/>
        </w:rPr>
        <w:t xml:space="preserve"> </w:t>
      </w:r>
      <w:r w:rsidR="00086BA8" w:rsidRPr="00855FDC">
        <w:rPr>
          <w:rFonts w:ascii="Sylfaen" w:hAnsi="Sylfaen"/>
          <w:sz w:val="24"/>
        </w:rPr>
        <w:t>Դատավար</w:t>
      </w:r>
      <w:r w:rsidR="00B51FD3" w:rsidRPr="00855FDC">
        <w:rPr>
          <w:rFonts w:ascii="Sylfaen" w:hAnsi="Sylfaen"/>
          <w:sz w:val="24"/>
        </w:rPr>
        <w:t xml:space="preserve">ության անաչառության </w:t>
      </w:r>
      <w:r w:rsidR="00086BA8" w:rsidRPr="00855FDC">
        <w:rPr>
          <w:rFonts w:ascii="Sylfaen" w:hAnsi="Sylfaen"/>
          <w:sz w:val="24"/>
        </w:rPr>
        <w:t xml:space="preserve">և </w:t>
      </w:r>
      <w:r w:rsidR="00B51FD3" w:rsidRPr="00855FDC">
        <w:rPr>
          <w:rFonts w:ascii="Sylfaen" w:hAnsi="Sylfaen"/>
          <w:sz w:val="24"/>
        </w:rPr>
        <w:t>իրավա</w:t>
      </w:r>
      <w:r w:rsidR="00086BA8" w:rsidRPr="00855FDC">
        <w:rPr>
          <w:rFonts w:ascii="Sylfaen" w:hAnsi="Sylfaen"/>
          <w:sz w:val="24"/>
        </w:rPr>
        <w:t>հավասարության բացակայությունը, որ</w:t>
      </w:r>
      <w:r w:rsidR="00DE764B" w:rsidRPr="00855FDC">
        <w:rPr>
          <w:rFonts w:ascii="Sylfaen" w:hAnsi="Sylfaen"/>
          <w:sz w:val="24"/>
        </w:rPr>
        <w:t>ի առկայությունը</w:t>
      </w:r>
      <w:r w:rsidR="00086BA8" w:rsidRPr="00855FDC">
        <w:rPr>
          <w:rFonts w:ascii="Sylfaen" w:hAnsi="Sylfaen"/>
          <w:sz w:val="24"/>
        </w:rPr>
        <w:t xml:space="preserve"> </w:t>
      </w:r>
      <w:r w:rsidR="00B51FD3" w:rsidRPr="00855FDC">
        <w:rPr>
          <w:rFonts w:ascii="Sylfaen" w:hAnsi="Sylfaen"/>
          <w:sz w:val="24"/>
        </w:rPr>
        <w:t xml:space="preserve">6-րդ հոդվածի մասով Դատարանն արդեն հաստատել </w:t>
      </w:r>
      <w:r w:rsidR="00DE764B" w:rsidRPr="00855FDC">
        <w:rPr>
          <w:rFonts w:ascii="Sylfaen" w:hAnsi="Sylfaen"/>
          <w:sz w:val="24"/>
        </w:rPr>
        <w:t>է,</w:t>
      </w:r>
      <w:r w:rsidR="00CA1B43" w:rsidRPr="00855FDC">
        <w:rPr>
          <w:rFonts w:ascii="Sylfaen" w:hAnsi="Sylfaen"/>
          <w:sz w:val="24"/>
        </w:rPr>
        <w:t xml:space="preserve"> </w:t>
      </w:r>
      <w:r w:rsidR="00B51FD3" w:rsidRPr="00855FDC">
        <w:rPr>
          <w:rFonts w:ascii="Sylfaen" w:hAnsi="Sylfaen"/>
          <w:sz w:val="24"/>
        </w:rPr>
        <w:t xml:space="preserve">հետևաբար </w:t>
      </w:r>
      <w:r w:rsidR="00DE764B" w:rsidRPr="00855FDC">
        <w:rPr>
          <w:rFonts w:ascii="Sylfaen" w:hAnsi="Sylfaen"/>
          <w:sz w:val="24"/>
        </w:rPr>
        <w:t>հաստա</w:t>
      </w:r>
      <w:r w:rsidR="008E4A81" w:rsidRPr="00855FDC">
        <w:rPr>
          <w:rFonts w:ascii="Sylfaen" w:hAnsi="Sylfaen"/>
          <w:sz w:val="24"/>
        </w:rPr>
        <w:t xml:space="preserve">տում է նաև </w:t>
      </w:r>
      <w:r w:rsidR="00B51FD3" w:rsidRPr="00855FDC">
        <w:rPr>
          <w:rFonts w:ascii="Sylfaen" w:hAnsi="Sylfaen"/>
          <w:sz w:val="24"/>
        </w:rPr>
        <w:t>10-րդ հոդվածի</w:t>
      </w:r>
      <w:r w:rsidR="008E4A81" w:rsidRPr="00855FDC">
        <w:rPr>
          <w:rFonts w:ascii="Sylfaen" w:hAnsi="Sylfaen"/>
          <w:sz w:val="24"/>
        </w:rPr>
        <w:t xml:space="preserve"> ներքո խախտման առկայությունը</w:t>
      </w:r>
      <w:r w:rsidR="00DE764B" w:rsidRPr="00855FDC">
        <w:rPr>
          <w:rFonts w:ascii="Sylfaen" w:hAnsi="Sylfaen"/>
          <w:sz w:val="24"/>
        </w:rPr>
        <w:t>:</w:t>
      </w:r>
    </w:p>
    <w:p w:rsidR="00943EE5" w:rsidRPr="00855FDC" w:rsidRDefault="00943EE5" w:rsidP="00922AF3">
      <w:pPr>
        <w:pStyle w:val="ClinContent"/>
        <w:spacing w:before="0"/>
        <w:rPr>
          <w:rFonts w:ascii="Sylfaen" w:hAnsi="Sylfaen"/>
          <w:sz w:val="24"/>
        </w:rPr>
      </w:pPr>
    </w:p>
    <w:p w:rsidR="009D7B9A" w:rsidRDefault="00DE764B" w:rsidP="00922AF3">
      <w:pPr>
        <w:pStyle w:val="ClinContent"/>
        <w:spacing w:before="0"/>
        <w:rPr>
          <w:rFonts w:ascii="Sylfaen" w:hAnsi="Sylfaen"/>
          <w:sz w:val="24"/>
        </w:rPr>
      </w:pPr>
      <w:r w:rsidRPr="00855FDC">
        <w:rPr>
          <w:rFonts w:ascii="Sylfaen" w:hAnsi="Sylfaen"/>
          <w:sz w:val="24"/>
        </w:rPr>
        <w:t>Ավելին, Կոնվենցիայի ներքո զրպարտության համար վնասի փոխհատուցումը</w:t>
      </w:r>
      <w:r w:rsidR="00CA1B43" w:rsidRPr="00855FDC">
        <w:rPr>
          <w:rFonts w:ascii="Sylfaen" w:hAnsi="Sylfaen"/>
          <w:sz w:val="24"/>
        </w:rPr>
        <w:t xml:space="preserve"> </w:t>
      </w:r>
      <w:r w:rsidRPr="00855FDC">
        <w:rPr>
          <w:rFonts w:ascii="Sylfaen" w:hAnsi="Sylfaen"/>
          <w:sz w:val="24"/>
        </w:rPr>
        <w:t xml:space="preserve">պետք է համաչափ լինի համբավի արատավորման պատճառով առաջացած վնասի հետ: Թեև </w:t>
      </w:r>
      <w:r w:rsidR="00845CE7" w:rsidRPr="00855FDC">
        <w:rPr>
          <w:rFonts w:ascii="Sylfaen" w:hAnsi="Sylfaen"/>
          <w:sz w:val="24"/>
        </w:rPr>
        <w:t xml:space="preserve">ճշմարիտ է, որ </w:t>
      </w:r>
      <w:r w:rsidR="00133FF8" w:rsidRPr="00855FDC">
        <w:rPr>
          <w:rFonts w:ascii="Sylfaen" w:hAnsi="Sylfaen"/>
          <w:sz w:val="24"/>
        </w:rPr>
        <w:t>Կոնվենցիայի ներքո զրպարտության պատճառով հասցված վնասի</w:t>
      </w:r>
      <w:r w:rsidR="00CA1B43" w:rsidRPr="00855FDC">
        <w:rPr>
          <w:rFonts w:ascii="Sylfaen" w:hAnsi="Sylfaen"/>
          <w:sz w:val="24"/>
        </w:rPr>
        <w:t xml:space="preserve"> </w:t>
      </w:r>
      <w:r w:rsidR="00133FF8" w:rsidRPr="00855FDC">
        <w:rPr>
          <w:rFonts w:ascii="Sylfaen" w:hAnsi="Sylfaen"/>
          <w:sz w:val="24"/>
        </w:rPr>
        <w:t>համար դիմումատուներից և ոչ մեկին չի պար</w:t>
      </w:r>
      <w:r w:rsidR="00B51FD3" w:rsidRPr="00855FDC">
        <w:rPr>
          <w:rFonts w:ascii="Sylfaen" w:hAnsi="Sylfaen"/>
          <w:sz w:val="24"/>
        </w:rPr>
        <w:t xml:space="preserve">տադրվել </w:t>
      </w:r>
      <w:r w:rsidR="006B7EE5" w:rsidRPr="00855FDC">
        <w:rPr>
          <w:rFonts w:ascii="Sylfaen" w:hAnsi="Sylfaen"/>
          <w:sz w:val="24"/>
        </w:rPr>
        <w:t>փոխհատուցել</w:t>
      </w:r>
      <w:r w:rsidR="00B51FD3" w:rsidRPr="00855FDC">
        <w:rPr>
          <w:rFonts w:ascii="Sylfaen" w:hAnsi="Sylfaen"/>
          <w:sz w:val="24"/>
        </w:rPr>
        <w:t xml:space="preserve"> այն, փաստ է</w:t>
      </w:r>
      <w:r w:rsidR="00133FF8" w:rsidRPr="00855FDC">
        <w:rPr>
          <w:rFonts w:ascii="Sylfaen" w:hAnsi="Sylfaen"/>
          <w:sz w:val="24"/>
        </w:rPr>
        <w:t>, որ Վերաքննիչ դատարանի</w:t>
      </w:r>
      <w:r w:rsidR="00CA1B43" w:rsidRPr="00855FDC">
        <w:rPr>
          <w:rFonts w:ascii="Sylfaen" w:hAnsi="Sylfaen"/>
          <w:sz w:val="24"/>
        </w:rPr>
        <w:t xml:space="preserve"> </w:t>
      </w:r>
      <w:r w:rsidR="00133FF8" w:rsidRPr="00855FDC">
        <w:rPr>
          <w:rFonts w:ascii="Sylfaen" w:hAnsi="Sylfaen"/>
          <w:sz w:val="24"/>
        </w:rPr>
        <w:t>որոշմամբ</w:t>
      </w:r>
      <w:r w:rsidR="00CA1B43" w:rsidRPr="00855FDC">
        <w:rPr>
          <w:rFonts w:ascii="Sylfaen" w:hAnsi="Sylfaen"/>
          <w:sz w:val="24"/>
        </w:rPr>
        <w:t xml:space="preserve"> </w:t>
      </w:r>
      <w:r w:rsidR="00133FF8" w:rsidRPr="00855FDC">
        <w:rPr>
          <w:rFonts w:ascii="Sylfaen" w:hAnsi="Sylfaen"/>
          <w:sz w:val="24"/>
        </w:rPr>
        <w:t xml:space="preserve">նրանց կողմից զգալի գումար վճարելու պարտավորությունը մնում է </w:t>
      </w:r>
      <w:r w:rsidR="00B51FD3" w:rsidRPr="00855FDC">
        <w:rPr>
          <w:rFonts w:ascii="Sylfaen" w:hAnsi="Sylfaen"/>
          <w:sz w:val="24"/>
        </w:rPr>
        <w:t>ուժի մեջ</w:t>
      </w:r>
      <w:r w:rsidR="008E4A81" w:rsidRPr="00855FDC">
        <w:rPr>
          <w:rFonts w:ascii="Sylfaen" w:hAnsi="Sylfaen"/>
          <w:sz w:val="24"/>
        </w:rPr>
        <w:t>: Այս</w:t>
      </w:r>
      <w:r w:rsidR="00133FF8" w:rsidRPr="00855FDC">
        <w:rPr>
          <w:rFonts w:ascii="Sylfaen" w:hAnsi="Sylfaen"/>
          <w:sz w:val="24"/>
        </w:rPr>
        <w:t xml:space="preserve">պիսի հանգամանքներում սույն գործով վնասի փոխհատուցման պահանջը </w:t>
      </w:r>
      <w:r w:rsidR="00773C27" w:rsidRPr="00855FDC">
        <w:rPr>
          <w:rFonts w:ascii="Sylfaen" w:hAnsi="Sylfaen"/>
          <w:sz w:val="24"/>
        </w:rPr>
        <w:t>օրինական նպատակի հետ անհամաչափ է:</w:t>
      </w:r>
    </w:p>
    <w:p w:rsidR="00943EE5" w:rsidRPr="00855FDC" w:rsidRDefault="00943EE5" w:rsidP="00922AF3">
      <w:pPr>
        <w:pStyle w:val="ClinContent"/>
        <w:spacing w:before="0"/>
        <w:rPr>
          <w:rFonts w:ascii="Sylfaen" w:hAnsi="Sylfaen"/>
          <w:i/>
          <w:sz w:val="24"/>
        </w:rPr>
      </w:pPr>
    </w:p>
    <w:p w:rsidR="00FC38F5" w:rsidRPr="00855FDC" w:rsidRDefault="00773C27" w:rsidP="00922AF3">
      <w:pPr>
        <w:pStyle w:val="ClinContent"/>
        <w:spacing w:before="0"/>
        <w:rPr>
          <w:rFonts w:ascii="Sylfaen" w:hAnsi="Sylfaen"/>
          <w:sz w:val="24"/>
        </w:rPr>
      </w:pPr>
      <w:r w:rsidRPr="00855FDC">
        <w:rPr>
          <w:rFonts w:ascii="Sylfaen" w:hAnsi="Sylfaen"/>
          <w:i/>
          <w:sz w:val="24"/>
        </w:rPr>
        <w:t>Եզրակացություն</w:t>
      </w:r>
      <w:r w:rsidRPr="00855FDC">
        <w:rPr>
          <w:rFonts w:ascii="Sylfaen" w:hAnsi="Sylfaen"/>
          <w:sz w:val="24"/>
        </w:rPr>
        <w:t xml:space="preserve">. </w:t>
      </w:r>
      <w:r w:rsidR="008E4A81" w:rsidRPr="00855FDC">
        <w:rPr>
          <w:rStyle w:val="ClinHeadNote"/>
          <w:rFonts w:ascii="Sylfaen" w:hAnsi="Sylfaen"/>
          <w:sz w:val="24"/>
        </w:rPr>
        <w:t>խախտում</w:t>
      </w:r>
      <w:r w:rsidR="008E4A81" w:rsidRPr="00855FDC">
        <w:rPr>
          <w:rFonts w:ascii="Sylfaen" w:hAnsi="Sylfaen"/>
          <w:sz w:val="24"/>
        </w:rPr>
        <w:t xml:space="preserve"> </w:t>
      </w:r>
      <w:r w:rsidR="00FC38F5" w:rsidRPr="00855FDC">
        <w:rPr>
          <w:rFonts w:ascii="Sylfaen" w:hAnsi="Sylfaen"/>
          <w:sz w:val="24"/>
        </w:rPr>
        <w:t>(</w:t>
      </w:r>
      <w:r w:rsidR="0066151F" w:rsidRPr="00855FDC">
        <w:rPr>
          <w:rFonts w:ascii="Sylfaen" w:hAnsi="Sylfaen"/>
          <w:sz w:val="24"/>
        </w:rPr>
        <w:t>միաձայն</w:t>
      </w:r>
      <w:r w:rsidRPr="00855FDC">
        <w:rPr>
          <w:rFonts w:ascii="Sylfaen" w:hAnsi="Sylfaen"/>
          <w:sz w:val="24"/>
        </w:rPr>
        <w:t>)</w:t>
      </w:r>
      <w:r w:rsidR="0066151F" w:rsidRPr="00855FDC">
        <w:rPr>
          <w:rFonts w:ascii="Sylfaen" w:hAnsi="Sylfaen"/>
          <w:sz w:val="24"/>
        </w:rPr>
        <w:t>:</w:t>
      </w:r>
    </w:p>
    <w:p w:rsidR="00943EE5" w:rsidRPr="00855FDC" w:rsidRDefault="00943EE5" w:rsidP="00922AF3">
      <w:pPr>
        <w:pStyle w:val="ClinContent"/>
        <w:spacing w:before="0"/>
        <w:rPr>
          <w:rFonts w:ascii="Sylfaen" w:hAnsi="Sylfaen"/>
          <w:sz w:val="24"/>
        </w:rPr>
      </w:pPr>
    </w:p>
    <w:p w:rsidR="009D7B9A" w:rsidRDefault="00531645" w:rsidP="00922AF3">
      <w:pPr>
        <w:pStyle w:val="ClinContent"/>
        <w:spacing w:before="0"/>
        <w:rPr>
          <w:rFonts w:ascii="Sylfaen" w:hAnsi="Sylfaen"/>
          <w:sz w:val="24"/>
        </w:rPr>
      </w:pPr>
      <w:proofErr w:type="gramStart"/>
      <w:r w:rsidRPr="00855FDC">
        <w:rPr>
          <w:rFonts w:ascii="Sylfaen" w:hAnsi="Sylfaen"/>
          <w:sz w:val="24"/>
        </w:rPr>
        <w:t>Հոդված</w:t>
      </w:r>
      <w:r w:rsidR="00FC38F5" w:rsidRPr="00855FDC">
        <w:rPr>
          <w:rFonts w:ascii="Sylfaen" w:hAnsi="Sylfaen"/>
          <w:sz w:val="24"/>
        </w:rPr>
        <w:t> 41</w:t>
      </w:r>
      <w:r w:rsidRPr="00855FDC">
        <w:rPr>
          <w:rFonts w:ascii="Sylfaen" w:hAnsi="Sylfaen"/>
          <w:sz w:val="24"/>
        </w:rPr>
        <w:t>.</w:t>
      </w:r>
      <w:proofErr w:type="gramEnd"/>
      <w:r w:rsidRPr="00855FDC">
        <w:rPr>
          <w:rFonts w:ascii="Sylfaen" w:hAnsi="Sylfaen"/>
          <w:sz w:val="24"/>
        </w:rPr>
        <w:t xml:space="preserve"> Դատարանը դիմումատուներին համապատասխանաբար շնորհեց 20,000 </w:t>
      </w:r>
      <w:r w:rsidR="0066151F" w:rsidRPr="00855FDC">
        <w:rPr>
          <w:rFonts w:ascii="Sylfaen" w:hAnsi="Sylfaen"/>
          <w:sz w:val="24"/>
        </w:rPr>
        <w:t xml:space="preserve">եվրո (EUR) </w:t>
      </w:r>
      <w:r w:rsidRPr="00855FDC">
        <w:rPr>
          <w:rFonts w:ascii="Sylfaen" w:hAnsi="Sylfaen"/>
          <w:sz w:val="24"/>
        </w:rPr>
        <w:t>և 15,000 եվրո</w:t>
      </w:r>
      <w:r w:rsidR="0066151F" w:rsidRPr="00855FDC">
        <w:rPr>
          <w:rFonts w:ascii="Sylfaen" w:hAnsi="Sylfaen"/>
          <w:sz w:val="24"/>
        </w:rPr>
        <w:t xml:space="preserve"> (EUR</w:t>
      </w:r>
      <w:proofErr w:type="gramStart"/>
      <w:r w:rsidR="0066151F" w:rsidRPr="00855FDC">
        <w:rPr>
          <w:rFonts w:ascii="Sylfaen" w:hAnsi="Sylfaen"/>
          <w:sz w:val="24"/>
        </w:rPr>
        <w:t>)</w:t>
      </w:r>
      <w:r w:rsidRPr="00855FDC">
        <w:rPr>
          <w:rFonts w:ascii="Sylfaen" w:hAnsi="Sylfaen"/>
          <w:sz w:val="24"/>
        </w:rPr>
        <w:t>`</w:t>
      </w:r>
      <w:proofErr w:type="gramEnd"/>
      <w:r w:rsidRPr="00855FDC">
        <w:rPr>
          <w:rFonts w:ascii="Sylfaen" w:hAnsi="Sylfaen"/>
          <w:sz w:val="24"/>
        </w:rPr>
        <w:t xml:space="preserve"> </w:t>
      </w:r>
      <w:r w:rsidR="0066151F" w:rsidRPr="00855FDC">
        <w:rPr>
          <w:rFonts w:ascii="Sylfaen" w:hAnsi="Sylfaen"/>
          <w:sz w:val="24"/>
        </w:rPr>
        <w:t xml:space="preserve">որպես </w:t>
      </w:r>
      <w:r w:rsidRPr="00855FDC">
        <w:rPr>
          <w:rFonts w:ascii="Sylfaen" w:hAnsi="Sylfaen"/>
          <w:sz w:val="24"/>
        </w:rPr>
        <w:t>ոչ նյութական վնասի փոխհատուց</w:t>
      </w:r>
      <w:r w:rsidR="0066151F" w:rsidRPr="00855FDC">
        <w:rPr>
          <w:rFonts w:ascii="Sylfaen" w:hAnsi="Sylfaen"/>
          <w:sz w:val="24"/>
        </w:rPr>
        <w:t>ում: Դատարանը</w:t>
      </w:r>
      <w:r w:rsidRPr="00855FDC">
        <w:rPr>
          <w:rFonts w:ascii="Sylfaen" w:hAnsi="Sylfaen"/>
          <w:sz w:val="24"/>
        </w:rPr>
        <w:t xml:space="preserve"> նաև պահանջեց վերջինիս</w:t>
      </w:r>
      <w:r w:rsidR="00CA1B43" w:rsidRPr="00855FDC">
        <w:rPr>
          <w:rFonts w:ascii="Sylfaen" w:hAnsi="Sylfaen"/>
          <w:sz w:val="24"/>
        </w:rPr>
        <w:t xml:space="preserve"> </w:t>
      </w:r>
      <w:r w:rsidRPr="00855FDC">
        <w:rPr>
          <w:rFonts w:ascii="Sylfaen" w:hAnsi="Sylfaen"/>
          <w:sz w:val="24"/>
        </w:rPr>
        <w:t>փոխհատուցել դատական ծախսեր</w:t>
      </w:r>
      <w:r w:rsidR="0066151F" w:rsidRPr="00855FDC">
        <w:rPr>
          <w:rFonts w:ascii="Sylfaen" w:hAnsi="Sylfaen"/>
          <w:sz w:val="24"/>
        </w:rPr>
        <w:t>ն ու ծախքերը</w:t>
      </w:r>
      <w:r w:rsidRPr="00855FDC">
        <w:rPr>
          <w:rFonts w:ascii="Sylfaen" w:hAnsi="Sylfaen"/>
          <w:sz w:val="24"/>
        </w:rPr>
        <w:t>:</w:t>
      </w:r>
    </w:p>
    <w:p w:rsidR="00922AF3" w:rsidRPr="00855FDC" w:rsidRDefault="00922AF3" w:rsidP="00922AF3">
      <w:pPr>
        <w:pStyle w:val="ClinContent"/>
        <w:pBdr>
          <w:bottom w:val="single" w:sz="4" w:space="1" w:color="auto"/>
        </w:pBdr>
        <w:spacing w:before="0"/>
        <w:rPr>
          <w:rFonts w:ascii="Sylfaen" w:hAnsi="Sylfaen"/>
          <w:szCs w:val="20"/>
        </w:rPr>
      </w:pPr>
    </w:p>
    <w:p w:rsidR="00922AF3" w:rsidRPr="00CA1B43" w:rsidRDefault="00922AF3" w:rsidP="00922AF3">
      <w:pPr>
        <w:pStyle w:val="ClinFooter"/>
        <w:spacing w:before="0"/>
        <w:rPr>
          <w:rFonts w:ascii="Sylfaen" w:hAnsi="Sylfaen"/>
          <w:szCs w:val="20"/>
          <w:lang w:val="hy-AM"/>
        </w:rPr>
      </w:pPr>
    </w:p>
    <w:p w:rsidR="00922AF3" w:rsidRPr="00855FDC" w:rsidRDefault="00922AF3" w:rsidP="00922AF3">
      <w:pPr>
        <w:pStyle w:val="ClinFooter"/>
        <w:spacing w:before="0"/>
        <w:rPr>
          <w:rFonts w:ascii="Sylfaen" w:hAnsi="Sylfaen"/>
          <w:szCs w:val="20"/>
          <w:lang w:val="en-US"/>
        </w:rPr>
      </w:pPr>
      <w:r w:rsidRPr="00855FDC">
        <w:rPr>
          <w:rFonts w:ascii="Sylfaen" w:hAnsi="Sylfaen"/>
          <w:szCs w:val="20"/>
          <w:lang w:val="en-US"/>
        </w:rPr>
        <w:t>© Council of Europe/European Court of Human Rights</w:t>
      </w:r>
      <w:r w:rsidRPr="00855FDC">
        <w:rPr>
          <w:rFonts w:ascii="Sylfaen" w:hAnsi="Sylfaen"/>
          <w:szCs w:val="20"/>
          <w:lang w:val="en-US"/>
        </w:rPr>
        <w:br/>
        <w:t>This summary by the Registry does not bind the Court.</w:t>
      </w:r>
    </w:p>
    <w:p w:rsidR="00922AF3" w:rsidRPr="00855FDC" w:rsidRDefault="00922AF3" w:rsidP="00922AF3">
      <w:pPr>
        <w:pStyle w:val="ClinFooter"/>
        <w:spacing w:before="0"/>
        <w:rPr>
          <w:rFonts w:ascii="Sylfaen" w:hAnsi="Sylfaen"/>
          <w:szCs w:val="20"/>
          <w:lang w:val="en-US"/>
        </w:rPr>
      </w:pPr>
    </w:p>
    <w:p w:rsidR="00922AF3" w:rsidRPr="00855FDC" w:rsidRDefault="00922AF3" w:rsidP="00922AF3">
      <w:pPr>
        <w:pStyle w:val="ClinFooter"/>
        <w:spacing w:before="0"/>
        <w:rPr>
          <w:rFonts w:ascii="Sylfaen" w:hAnsi="Sylfaen"/>
          <w:szCs w:val="20"/>
          <w:lang w:val="en-US"/>
        </w:rPr>
      </w:pPr>
      <w:r w:rsidRPr="00CA1B43">
        <w:rPr>
          <w:rFonts w:ascii="Sylfaen" w:hAnsi="Sylfaen"/>
          <w:szCs w:val="20"/>
        </w:rPr>
        <w:t>Եվրոպայի</w:t>
      </w:r>
      <w:r w:rsidRPr="00855FDC">
        <w:rPr>
          <w:rFonts w:ascii="Sylfaen" w:hAnsi="Sylfaen"/>
          <w:szCs w:val="20"/>
          <w:lang w:val="en-US"/>
        </w:rPr>
        <w:t xml:space="preserve"> </w:t>
      </w:r>
      <w:r w:rsidRPr="00CA1B43">
        <w:rPr>
          <w:rFonts w:ascii="Sylfaen" w:hAnsi="Sylfaen"/>
          <w:szCs w:val="20"/>
        </w:rPr>
        <w:t>խորհուրդ</w:t>
      </w:r>
      <w:r w:rsidRPr="00855FDC">
        <w:rPr>
          <w:rFonts w:ascii="Sylfaen" w:hAnsi="Sylfaen"/>
          <w:szCs w:val="20"/>
          <w:lang w:val="en-US"/>
        </w:rPr>
        <w:t>/</w:t>
      </w:r>
      <w:r w:rsidRPr="00CA1B43">
        <w:rPr>
          <w:rFonts w:ascii="Sylfaen" w:hAnsi="Sylfaen"/>
          <w:szCs w:val="20"/>
        </w:rPr>
        <w:t>Մարդու</w:t>
      </w:r>
      <w:r w:rsidRPr="00855FDC">
        <w:rPr>
          <w:rFonts w:ascii="Sylfaen" w:hAnsi="Sylfaen"/>
          <w:szCs w:val="20"/>
          <w:lang w:val="en-US"/>
        </w:rPr>
        <w:t xml:space="preserve"> </w:t>
      </w:r>
      <w:r w:rsidRPr="00CA1B43">
        <w:rPr>
          <w:rFonts w:ascii="Sylfaen" w:hAnsi="Sylfaen"/>
          <w:szCs w:val="20"/>
        </w:rPr>
        <w:t>իրավունքների</w:t>
      </w:r>
      <w:r w:rsidRPr="00855FDC">
        <w:rPr>
          <w:rFonts w:ascii="Sylfaen" w:hAnsi="Sylfaen"/>
          <w:szCs w:val="20"/>
          <w:lang w:val="en-US"/>
        </w:rPr>
        <w:t xml:space="preserve"> </w:t>
      </w:r>
      <w:r w:rsidRPr="00CA1B43">
        <w:rPr>
          <w:rFonts w:ascii="Sylfaen" w:hAnsi="Sylfaen"/>
          <w:szCs w:val="20"/>
        </w:rPr>
        <w:t>եվրոպական</w:t>
      </w:r>
      <w:r w:rsidRPr="00855FDC">
        <w:rPr>
          <w:rFonts w:ascii="Sylfaen" w:hAnsi="Sylfaen"/>
          <w:szCs w:val="20"/>
          <w:lang w:val="en-US"/>
        </w:rPr>
        <w:t xml:space="preserve"> </w:t>
      </w:r>
      <w:r w:rsidRPr="00CA1B43">
        <w:rPr>
          <w:rFonts w:ascii="Sylfaen" w:hAnsi="Sylfaen"/>
          <w:szCs w:val="20"/>
        </w:rPr>
        <w:t>դատարան</w:t>
      </w:r>
    </w:p>
    <w:p w:rsidR="00922AF3" w:rsidRPr="00855FDC" w:rsidRDefault="00922AF3" w:rsidP="00922AF3">
      <w:pPr>
        <w:pStyle w:val="ClinFooter"/>
        <w:spacing w:before="0"/>
        <w:rPr>
          <w:rFonts w:ascii="Sylfaen" w:hAnsi="Sylfaen"/>
          <w:szCs w:val="20"/>
          <w:lang w:val="en-US"/>
        </w:rPr>
      </w:pPr>
    </w:p>
    <w:p w:rsidR="00922AF3" w:rsidRPr="00855FDC" w:rsidRDefault="00922AF3" w:rsidP="00922AF3">
      <w:pPr>
        <w:pStyle w:val="ClinFooter"/>
        <w:spacing w:before="0"/>
        <w:rPr>
          <w:rFonts w:ascii="Sylfaen" w:hAnsi="Sylfaen"/>
          <w:szCs w:val="20"/>
          <w:lang w:val="en-US"/>
        </w:rPr>
      </w:pPr>
      <w:r w:rsidRPr="00CA1B43">
        <w:rPr>
          <w:rFonts w:ascii="Sylfaen" w:hAnsi="Sylfaen"/>
          <w:szCs w:val="20"/>
        </w:rPr>
        <w:t>Դատարանի</w:t>
      </w:r>
      <w:r w:rsidRPr="00855FDC">
        <w:rPr>
          <w:rFonts w:ascii="Sylfaen" w:hAnsi="Sylfaen"/>
          <w:szCs w:val="20"/>
          <w:lang w:val="en-US"/>
        </w:rPr>
        <w:t xml:space="preserve"> </w:t>
      </w:r>
      <w:r w:rsidRPr="00CA1B43">
        <w:rPr>
          <w:rFonts w:ascii="Sylfaen" w:hAnsi="Sylfaen"/>
          <w:szCs w:val="20"/>
        </w:rPr>
        <w:t>քարտուղարության</w:t>
      </w:r>
      <w:r w:rsidRPr="00855FDC">
        <w:rPr>
          <w:rFonts w:ascii="Sylfaen" w:hAnsi="Sylfaen"/>
          <w:szCs w:val="20"/>
          <w:lang w:val="en-US"/>
        </w:rPr>
        <w:t xml:space="preserve"> </w:t>
      </w:r>
      <w:r w:rsidRPr="00CA1B43">
        <w:rPr>
          <w:rFonts w:ascii="Sylfaen" w:hAnsi="Sylfaen"/>
          <w:szCs w:val="20"/>
        </w:rPr>
        <w:t>այս</w:t>
      </w:r>
      <w:r w:rsidRPr="00855FDC">
        <w:rPr>
          <w:rFonts w:ascii="Sylfaen" w:hAnsi="Sylfaen"/>
          <w:szCs w:val="20"/>
          <w:lang w:val="en-US"/>
        </w:rPr>
        <w:t xml:space="preserve"> </w:t>
      </w:r>
      <w:r w:rsidRPr="00CA1B43">
        <w:rPr>
          <w:rFonts w:ascii="Sylfaen" w:hAnsi="Sylfaen"/>
          <w:szCs w:val="20"/>
        </w:rPr>
        <w:t>ամփոփումը</w:t>
      </w:r>
      <w:r w:rsidRPr="00855FDC">
        <w:rPr>
          <w:rFonts w:ascii="Sylfaen" w:hAnsi="Sylfaen"/>
          <w:szCs w:val="20"/>
          <w:lang w:val="en-US"/>
        </w:rPr>
        <w:t xml:space="preserve"> </w:t>
      </w:r>
      <w:r w:rsidRPr="00CA1B43">
        <w:rPr>
          <w:rFonts w:ascii="Sylfaen" w:hAnsi="Sylfaen"/>
          <w:szCs w:val="20"/>
        </w:rPr>
        <w:t>պարտադիր</w:t>
      </w:r>
      <w:r w:rsidRPr="00855FDC">
        <w:rPr>
          <w:rFonts w:ascii="Sylfaen" w:hAnsi="Sylfaen"/>
          <w:szCs w:val="20"/>
          <w:lang w:val="en-US"/>
        </w:rPr>
        <w:t xml:space="preserve"> </w:t>
      </w:r>
      <w:r w:rsidRPr="00CA1B43">
        <w:rPr>
          <w:rFonts w:ascii="Sylfaen" w:hAnsi="Sylfaen"/>
          <w:szCs w:val="20"/>
        </w:rPr>
        <w:t>չէ</w:t>
      </w:r>
      <w:r w:rsidRPr="00855FDC">
        <w:rPr>
          <w:rFonts w:ascii="Sylfaen" w:hAnsi="Sylfaen"/>
          <w:szCs w:val="20"/>
          <w:lang w:val="en-US"/>
        </w:rPr>
        <w:t xml:space="preserve"> </w:t>
      </w:r>
      <w:r w:rsidRPr="00CA1B43">
        <w:rPr>
          <w:rFonts w:ascii="Sylfaen" w:hAnsi="Sylfaen"/>
          <w:szCs w:val="20"/>
        </w:rPr>
        <w:t>Դատարանի</w:t>
      </w:r>
      <w:r w:rsidRPr="00855FDC">
        <w:rPr>
          <w:rFonts w:ascii="Sylfaen" w:hAnsi="Sylfaen"/>
          <w:szCs w:val="20"/>
          <w:lang w:val="en-US"/>
        </w:rPr>
        <w:t xml:space="preserve"> </w:t>
      </w:r>
      <w:r w:rsidRPr="00CA1B43">
        <w:rPr>
          <w:rFonts w:ascii="Sylfaen" w:hAnsi="Sylfaen"/>
          <w:szCs w:val="20"/>
        </w:rPr>
        <w:t>համար</w:t>
      </w:r>
    </w:p>
    <w:p w:rsidR="00922AF3" w:rsidRPr="00855FDC" w:rsidRDefault="00922AF3" w:rsidP="00922AF3">
      <w:pPr>
        <w:pStyle w:val="ClinFooter"/>
        <w:spacing w:before="0"/>
        <w:rPr>
          <w:rFonts w:ascii="Sylfaen" w:hAnsi="Sylfaen"/>
          <w:szCs w:val="20"/>
          <w:lang w:val="en-US"/>
        </w:rPr>
      </w:pPr>
    </w:p>
    <w:p w:rsidR="00922AF3" w:rsidRPr="00855FDC" w:rsidRDefault="00922AF3" w:rsidP="00922AF3">
      <w:pPr>
        <w:pStyle w:val="ClinFooter"/>
        <w:spacing w:before="0"/>
        <w:rPr>
          <w:rFonts w:ascii="Sylfaen" w:hAnsi="Sylfaen"/>
          <w:szCs w:val="20"/>
          <w:lang w:val="en-US"/>
        </w:rPr>
      </w:pPr>
      <w:r w:rsidRPr="00CA1B43">
        <w:rPr>
          <w:rFonts w:ascii="Sylfaen" w:hAnsi="Sylfaen"/>
          <w:szCs w:val="20"/>
        </w:rPr>
        <w:t>Սեղմեք</w:t>
      </w:r>
      <w:r w:rsidRPr="00855FDC">
        <w:rPr>
          <w:rFonts w:ascii="Sylfaen" w:hAnsi="Sylfaen"/>
          <w:szCs w:val="20"/>
          <w:lang w:val="en-US"/>
        </w:rPr>
        <w:t xml:space="preserve"> </w:t>
      </w:r>
      <w:r w:rsidRPr="00CA1B43">
        <w:rPr>
          <w:rFonts w:ascii="Sylfaen" w:hAnsi="Sylfaen"/>
          <w:szCs w:val="20"/>
        </w:rPr>
        <w:t>այստեղ</w:t>
      </w:r>
      <w:r w:rsidRPr="00855FDC">
        <w:rPr>
          <w:rFonts w:ascii="Sylfaen" w:hAnsi="Sylfaen"/>
          <w:szCs w:val="20"/>
          <w:lang w:val="en-US"/>
        </w:rPr>
        <w:t xml:space="preserve"> </w:t>
      </w:r>
      <w:hyperlink r:id="rId11" w:history="1">
        <w:r w:rsidRPr="00CA1B43">
          <w:rPr>
            <w:rStyle w:val="Hyperlink"/>
            <w:rFonts w:ascii="Sylfaen" w:hAnsi="Sylfaen"/>
            <w:szCs w:val="20"/>
          </w:rPr>
          <w:t>Նախադեպային</w:t>
        </w:r>
        <w:r w:rsidRPr="00855FDC">
          <w:rPr>
            <w:rStyle w:val="Hyperlink"/>
            <w:rFonts w:ascii="Sylfaen" w:hAnsi="Sylfaen"/>
            <w:szCs w:val="20"/>
            <w:lang w:val="en-US"/>
          </w:rPr>
          <w:t xml:space="preserve"> </w:t>
        </w:r>
        <w:r w:rsidRPr="00CA1B43">
          <w:rPr>
            <w:rStyle w:val="Hyperlink"/>
            <w:rFonts w:ascii="Sylfaen" w:hAnsi="Sylfaen"/>
            <w:szCs w:val="20"/>
          </w:rPr>
          <w:t>տեղեկատուների</w:t>
        </w:r>
        <w:r w:rsidRPr="00855FDC">
          <w:rPr>
            <w:rStyle w:val="Hyperlink"/>
            <w:rFonts w:ascii="Sylfaen" w:hAnsi="Sylfaen"/>
            <w:szCs w:val="20"/>
            <w:lang w:val="en-US"/>
          </w:rPr>
          <w:t xml:space="preserve"> </w:t>
        </w:r>
        <w:r w:rsidRPr="00CA1B43">
          <w:rPr>
            <w:rStyle w:val="Hyperlink"/>
            <w:rFonts w:ascii="Sylfaen" w:hAnsi="Sylfaen"/>
            <w:szCs w:val="20"/>
          </w:rPr>
          <w:t>համար</w:t>
        </w:r>
      </w:hyperlink>
    </w:p>
    <w:p w:rsidR="00922AF3" w:rsidRPr="00855FDC" w:rsidRDefault="00922AF3" w:rsidP="00922AF3">
      <w:pPr>
        <w:ind w:right="-45"/>
        <w:jc w:val="both"/>
        <w:rPr>
          <w:rFonts w:ascii="Sylfaen" w:hAnsi="Sylfaen"/>
          <w:b/>
          <w:bCs/>
          <w:szCs w:val="20"/>
          <w:lang w:val="en-US"/>
        </w:rPr>
      </w:pPr>
    </w:p>
    <w:p w:rsidR="00922AF3" w:rsidRPr="00855FDC" w:rsidRDefault="00922AF3" w:rsidP="00922AF3">
      <w:pPr>
        <w:ind w:right="-45"/>
        <w:jc w:val="both"/>
        <w:rPr>
          <w:rFonts w:ascii="Sylfaen" w:hAnsi="Sylfaen"/>
          <w:b/>
          <w:bCs/>
          <w:szCs w:val="20"/>
          <w:lang w:val="en-US"/>
        </w:rPr>
      </w:pPr>
    </w:p>
    <w:p w:rsidR="00922AF3" w:rsidRPr="00855FDC" w:rsidRDefault="00922AF3" w:rsidP="00922AF3">
      <w:pPr>
        <w:ind w:right="-45"/>
        <w:jc w:val="both"/>
        <w:rPr>
          <w:rFonts w:ascii="Sylfaen" w:hAnsi="Sylfaen"/>
          <w:b/>
          <w:bCs/>
          <w:szCs w:val="20"/>
          <w:lang w:val="en-US"/>
        </w:rPr>
      </w:pPr>
    </w:p>
    <w:p w:rsidR="00922AF3" w:rsidRPr="00855FDC" w:rsidRDefault="00922AF3" w:rsidP="00922AF3">
      <w:pPr>
        <w:ind w:right="-45"/>
        <w:jc w:val="both"/>
        <w:rPr>
          <w:rFonts w:ascii="Sylfaen" w:hAnsi="Sylfaen"/>
          <w:b/>
          <w:bCs/>
          <w:szCs w:val="20"/>
          <w:lang w:val="en-US"/>
        </w:rPr>
      </w:pPr>
    </w:p>
    <w:p w:rsidR="00922AF3" w:rsidRPr="00855FDC" w:rsidRDefault="00922AF3" w:rsidP="00922AF3">
      <w:pPr>
        <w:ind w:right="-45"/>
        <w:jc w:val="both"/>
        <w:rPr>
          <w:rFonts w:ascii="Sylfaen" w:hAnsi="Sylfaen"/>
          <w:b/>
          <w:szCs w:val="20"/>
          <w:lang w:val="en-US"/>
        </w:rPr>
      </w:pPr>
      <w:r w:rsidRPr="00855FDC">
        <w:rPr>
          <w:rFonts w:ascii="Sylfaen" w:hAnsi="Sylfaen"/>
          <w:b/>
          <w:bCs/>
          <w:szCs w:val="20"/>
          <w:lang w:val="en-US"/>
        </w:rPr>
        <w:t>©</w:t>
      </w:r>
      <w:r w:rsidRPr="00855FDC">
        <w:rPr>
          <w:rFonts w:ascii="Sylfaen" w:hAnsi="Sylfaen"/>
          <w:szCs w:val="20"/>
          <w:lang w:val="en-US"/>
        </w:rPr>
        <w:t xml:space="preserve"> </w:t>
      </w:r>
      <w:r w:rsidRPr="00CA1B43">
        <w:rPr>
          <w:rFonts w:ascii="Sylfaen" w:hAnsi="Sylfaen"/>
          <w:b/>
          <w:szCs w:val="20"/>
          <w:lang w:val="hy-AM"/>
        </w:rPr>
        <w:t>Եվրոպայի</w:t>
      </w:r>
      <w:r w:rsidRPr="00855FDC">
        <w:rPr>
          <w:rFonts w:ascii="Sylfaen" w:hAnsi="Sylfaen"/>
          <w:b/>
          <w:szCs w:val="20"/>
          <w:lang w:val="en-US"/>
        </w:rPr>
        <w:t xml:space="preserve"> </w:t>
      </w:r>
      <w:r w:rsidRPr="00CA1B43">
        <w:rPr>
          <w:rFonts w:ascii="Sylfaen" w:hAnsi="Sylfaen"/>
          <w:b/>
          <w:szCs w:val="20"/>
          <w:lang w:val="hy-AM"/>
        </w:rPr>
        <w:t>խորհուրդ</w:t>
      </w:r>
      <w:r w:rsidRPr="00855FDC">
        <w:rPr>
          <w:rFonts w:ascii="Sylfaen" w:hAnsi="Sylfaen"/>
          <w:b/>
          <w:szCs w:val="20"/>
          <w:lang w:val="en-US"/>
        </w:rPr>
        <w:t xml:space="preserve">/ </w:t>
      </w:r>
      <w:r w:rsidRPr="00CA1B43">
        <w:rPr>
          <w:rFonts w:ascii="Sylfaen" w:hAnsi="Sylfaen"/>
          <w:b/>
          <w:szCs w:val="20"/>
          <w:lang w:val="hy-AM"/>
        </w:rPr>
        <w:t>Մարդու</w:t>
      </w:r>
      <w:r w:rsidRPr="00855FDC">
        <w:rPr>
          <w:rFonts w:ascii="Sylfaen" w:hAnsi="Sylfaen"/>
          <w:b/>
          <w:szCs w:val="20"/>
          <w:lang w:val="en-US"/>
        </w:rPr>
        <w:t xml:space="preserve"> </w:t>
      </w:r>
      <w:r w:rsidRPr="00CA1B43">
        <w:rPr>
          <w:rFonts w:ascii="Sylfaen" w:hAnsi="Sylfaen"/>
          <w:b/>
          <w:szCs w:val="20"/>
          <w:lang w:val="hy-AM"/>
        </w:rPr>
        <w:t>իրավունքների</w:t>
      </w:r>
      <w:r w:rsidRPr="00855FDC">
        <w:rPr>
          <w:rFonts w:ascii="Sylfaen" w:hAnsi="Sylfaen"/>
          <w:b/>
          <w:szCs w:val="20"/>
          <w:lang w:val="en-US"/>
        </w:rPr>
        <w:t xml:space="preserve"> </w:t>
      </w:r>
      <w:r w:rsidRPr="00CA1B43">
        <w:rPr>
          <w:rFonts w:ascii="Sylfaen" w:hAnsi="Sylfaen"/>
          <w:b/>
          <w:szCs w:val="20"/>
          <w:lang w:val="hy-AM"/>
        </w:rPr>
        <w:t>եվրոպական</w:t>
      </w:r>
      <w:r w:rsidRPr="00855FDC">
        <w:rPr>
          <w:rFonts w:ascii="Sylfaen" w:hAnsi="Sylfaen"/>
          <w:b/>
          <w:szCs w:val="20"/>
          <w:lang w:val="en-US"/>
        </w:rPr>
        <w:t xml:space="preserve"> </w:t>
      </w:r>
      <w:r w:rsidRPr="00CA1B43">
        <w:rPr>
          <w:rFonts w:ascii="Sylfaen" w:hAnsi="Sylfaen"/>
          <w:b/>
          <w:szCs w:val="20"/>
          <w:lang w:val="en-US"/>
        </w:rPr>
        <w:t>դ</w:t>
      </w:r>
      <w:r w:rsidRPr="00CA1B43">
        <w:rPr>
          <w:rFonts w:ascii="Sylfaen" w:hAnsi="Sylfaen"/>
          <w:b/>
          <w:szCs w:val="20"/>
          <w:lang w:val="hy-AM"/>
        </w:rPr>
        <w:t>ատարան</w:t>
      </w:r>
      <w:r w:rsidRPr="00855FDC">
        <w:rPr>
          <w:rFonts w:ascii="Sylfaen" w:hAnsi="Sylfaen"/>
          <w:b/>
          <w:szCs w:val="20"/>
          <w:lang w:val="en-US"/>
        </w:rPr>
        <w:t>, 2013</w:t>
      </w:r>
    </w:p>
    <w:p w:rsidR="00922AF3" w:rsidRPr="00855FDC" w:rsidRDefault="00922AF3" w:rsidP="00922AF3">
      <w:pPr>
        <w:ind w:right="-45"/>
        <w:jc w:val="both"/>
        <w:rPr>
          <w:rFonts w:ascii="Sylfaen" w:hAnsi="Sylfaen"/>
          <w:szCs w:val="20"/>
          <w:lang w:val="en-US"/>
        </w:rPr>
      </w:pPr>
    </w:p>
    <w:p w:rsidR="00922AF3" w:rsidRPr="00855FDC" w:rsidRDefault="00922AF3" w:rsidP="00922AF3">
      <w:pPr>
        <w:ind w:right="-45"/>
        <w:jc w:val="both"/>
        <w:rPr>
          <w:rFonts w:ascii="Sylfaen" w:hAnsi="Sylfaen"/>
          <w:b/>
          <w:szCs w:val="20"/>
          <w:lang w:val="en-US"/>
        </w:rPr>
      </w:pPr>
      <w:r w:rsidRPr="00CA1B43">
        <w:rPr>
          <w:rFonts w:ascii="Sylfaen" w:hAnsi="Sylfaen"/>
          <w:szCs w:val="20"/>
        </w:rPr>
        <w:t>Մարդու</w:t>
      </w:r>
      <w:r w:rsidRPr="00855FDC">
        <w:rPr>
          <w:rFonts w:ascii="Sylfaen" w:hAnsi="Sylfaen"/>
          <w:szCs w:val="20"/>
          <w:lang w:val="en-US"/>
        </w:rPr>
        <w:t xml:space="preserve"> </w:t>
      </w:r>
      <w:r w:rsidRPr="00CA1B43">
        <w:rPr>
          <w:rFonts w:ascii="Sylfaen" w:hAnsi="Sylfaen"/>
          <w:szCs w:val="20"/>
        </w:rPr>
        <w:t>իրավունքների</w:t>
      </w:r>
      <w:r w:rsidRPr="00855FDC">
        <w:rPr>
          <w:rFonts w:ascii="Sylfaen" w:hAnsi="Sylfaen"/>
          <w:szCs w:val="20"/>
          <w:lang w:val="en-US"/>
        </w:rPr>
        <w:t xml:space="preserve"> </w:t>
      </w:r>
      <w:r w:rsidRPr="00CA1B43">
        <w:rPr>
          <w:rFonts w:ascii="Sylfaen" w:hAnsi="Sylfaen"/>
          <w:szCs w:val="20"/>
        </w:rPr>
        <w:t>եվրոպական</w:t>
      </w:r>
      <w:r w:rsidRPr="00855FDC">
        <w:rPr>
          <w:rFonts w:ascii="Sylfaen" w:hAnsi="Sylfaen"/>
          <w:szCs w:val="20"/>
          <w:lang w:val="en-US"/>
        </w:rPr>
        <w:t xml:space="preserve"> </w:t>
      </w:r>
      <w:r w:rsidRPr="00CA1B43">
        <w:rPr>
          <w:rFonts w:ascii="Sylfaen" w:hAnsi="Sylfaen"/>
          <w:szCs w:val="20"/>
        </w:rPr>
        <w:t>դատարանի</w:t>
      </w:r>
      <w:r w:rsidRPr="00855FDC">
        <w:rPr>
          <w:rFonts w:ascii="Sylfaen" w:hAnsi="Sylfaen"/>
          <w:szCs w:val="20"/>
          <w:lang w:val="en-US"/>
        </w:rPr>
        <w:t xml:space="preserve"> </w:t>
      </w:r>
      <w:r w:rsidRPr="00CA1B43">
        <w:rPr>
          <w:rFonts w:ascii="Sylfaen" w:hAnsi="Sylfaen"/>
          <w:szCs w:val="20"/>
        </w:rPr>
        <w:t>պաշտոնական</w:t>
      </w:r>
      <w:r w:rsidRPr="00855FDC">
        <w:rPr>
          <w:rFonts w:ascii="Sylfaen" w:hAnsi="Sylfaen"/>
          <w:szCs w:val="20"/>
          <w:lang w:val="en-US"/>
        </w:rPr>
        <w:t xml:space="preserve"> </w:t>
      </w:r>
      <w:r w:rsidRPr="00CA1B43">
        <w:rPr>
          <w:rFonts w:ascii="Sylfaen" w:hAnsi="Sylfaen"/>
          <w:szCs w:val="20"/>
        </w:rPr>
        <w:t>լեզուներն</w:t>
      </w:r>
      <w:r w:rsidRPr="00855FDC">
        <w:rPr>
          <w:rFonts w:ascii="Sylfaen" w:hAnsi="Sylfaen"/>
          <w:szCs w:val="20"/>
          <w:lang w:val="en-US"/>
        </w:rPr>
        <w:t xml:space="preserve"> </w:t>
      </w:r>
      <w:r w:rsidRPr="00CA1B43">
        <w:rPr>
          <w:rFonts w:ascii="Sylfaen" w:hAnsi="Sylfaen"/>
          <w:szCs w:val="20"/>
        </w:rPr>
        <w:t>են</w:t>
      </w:r>
      <w:r w:rsidRPr="00855FDC">
        <w:rPr>
          <w:rFonts w:ascii="Sylfaen" w:hAnsi="Sylfaen"/>
          <w:szCs w:val="20"/>
          <w:lang w:val="en-US"/>
        </w:rPr>
        <w:t xml:space="preserve"> </w:t>
      </w:r>
      <w:r w:rsidRPr="00CA1B43">
        <w:rPr>
          <w:rFonts w:ascii="Sylfaen" w:hAnsi="Sylfaen"/>
          <w:szCs w:val="20"/>
        </w:rPr>
        <w:t>ֆրանսերենը</w:t>
      </w:r>
      <w:r w:rsidRPr="00855FDC">
        <w:rPr>
          <w:rFonts w:ascii="Sylfaen" w:hAnsi="Sylfaen"/>
          <w:szCs w:val="20"/>
          <w:lang w:val="en-US"/>
        </w:rPr>
        <w:t xml:space="preserve"> </w:t>
      </w:r>
      <w:r w:rsidRPr="00CA1B43">
        <w:rPr>
          <w:rFonts w:ascii="Sylfaen" w:hAnsi="Sylfaen"/>
          <w:szCs w:val="20"/>
        </w:rPr>
        <w:t>և</w:t>
      </w:r>
      <w:r w:rsidRPr="00855FDC">
        <w:rPr>
          <w:rFonts w:ascii="Sylfaen" w:hAnsi="Sylfaen"/>
          <w:szCs w:val="20"/>
          <w:lang w:val="en-US"/>
        </w:rPr>
        <w:t xml:space="preserve"> </w:t>
      </w:r>
      <w:r w:rsidRPr="00CA1B43">
        <w:rPr>
          <w:rFonts w:ascii="Sylfaen" w:hAnsi="Sylfaen"/>
          <w:szCs w:val="20"/>
        </w:rPr>
        <w:t>անգլերենը</w:t>
      </w:r>
      <w:r w:rsidRPr="00855FDC">
        <w:rPr>
          <w:rFonts w:ascii="Sylfaen" w:hAnsi="Sylfaen"/>
          <w:szCs w:val="20"/>
          <w:lang w:val="en-US"/>
        </w:rPr>
        <w:t xml:space="preserve">: </w:t>
      </w:r>
      <w:r w:rsidRPr="00CA1B43">
        <w:rPr>
          <w:rFonts w:ascii="Sylfaen" w:hAnsi="Sylfaen"/>
          <w:szCs w:val="20"/>
        </w:rPr>
        <w:t>Սույն</w:t>
      </w:r>
      <w:r w:rsidRPr="00855FDC">
        <w:rPr>
          <w:rFonts w:ascii="Sylfaen" w:hAnsi="Sylfaen"/>
          <w:szCs w:val="20"/>
          <w:lang w:val="en-US"/>
        </w:rPr>
        <w:t xml:space="preserve"> </w:t>
      </w:r>
      <w:r w:rsidRPr="00CA1B43">
        <w:rPr>
          <w:rFonts w:ascii="Sylfaen" w:hAnsi="Sylfaen"/>
          <w:szCs w:val="20"/>
        </w:rPr>
        <w:t>թարգմանությունն</w:t>
      </w:r>
      <w:r w:rsidRPr="00855FDC">
        <w:rPr>
          <w:rFonts w:ascii="Sylfaen" w:hAnsi="Sylfaen"/>
          <w:szCs w:val="20"/>
          <w:lang w:val="en-US"/>
        </w:rPr>
        <w:t xml:space="preserve"> </w:t>
      </w:r>
      <w:r w:rsidRPr="00CA1B43">
        <w:rPr>
          <w:rFonts w:ascii="Sylfaen" w:hAnsi="Sylfaen"/>
          <w:szCs w:val="20"/>
        </w:rPr>
        <w:t>իրականացվել</w:t>
      </w:r>
      <w:r w:rsidRPr="00855FDC">
        <w:rPr>
          <w:rFonts w:ascii="Sylfaen" w:hAnsi="Sylfaen"/>
          <w:szCs w:val="20"/>
          <w:lang w:val="en-US"/>
        </w:rPr>
        <w:t xml:space="preserve"> </w:t>
      </w:r>
      <w:r w:rsidRPr="00CA1B43">
        <w:rPr>
          <w:rFonts w:ascii="Sylfaen" w:hAnsi="Sylfaen"/>
          <w:szCs w:val="20"/>
        </w:rPr>
        <w:t>է</w:t>
      </w:r>
      <w:r w:rsidRPr="00855FDC">
        <w:rPr>
          <w:rFonts w:ascii="Sylfaen" w:hAnsi="Sylfaen"/>
          <w:szCs w:val="20"/>
          <w:lang w:val="en-US"/>
        </w:rPr>
        <w:t xml:space="preserve"> </w:t>
      </w:r>
      <w:r w:rsidRPr="00CA1B43">
        <w:rPr>
          <w:rFonts w:ascii="Sylfaen" w:hAnsi="Sylfaen"/>
          <w:szCs w:val="20"/>
        </w:rPr>
        <w:t>Եվրոպայի</w:t>
      </w:r>
      <w:r w:rsidRPr="00855FDC">
        <w:rPr>
          <w:rFonts w:ascii="Sylfaen" w:hAnsi="Sylfaen"/>
          <w:szCs w:val="20"/>
          <w:lang w:val="en-US"/>
        </w:rPr>
        <w:t xml:space="preserve"> </w:t>
      </w:r>
      <w:r w:rsidRPr="00CA1B43">
        <w:rPr>
          <w:rFonts w:ascii="Sylfaen" w:hAnsi="Sylfaen"/>
          <w:szCs w:val="20"/>
        </w:rPr>
        <w:t>խորհրդի</w:t>
      </w:r>
      <w:r w:rsidRPr="00855FDC">
        <w:rPr>
          <w:rFonts w:ascii="Sylfaen" w:hAnsi="Sylfaen"/>
          <w:szCs w:val="20"/>
          <w:lang w:val="en-US"/>
        </w:rPr>
        <w:t xml:space="preserve"> </w:t>
      </w:r>
      <w:r w:rsidRPr="00CA1B43">
        <w:rPr>
          <w:rFonts w:ascii="Sylfaen" w:hAnsi="Sylfaen"/>
          <w:szCs w:val="20"/>
        </w:rPr>
        <w:t>Մարդու</w:t>
      </w:r>
      <w:r w:rsidRPr="00855FDC">
        <w:rPr>
          <w:rFonts w:ascii="Sylfaen" w:hAnsi="Sylfaen"/>
          <w:szCs w:val="20"/>
          <w:lang w:val="en-US"/>
        </w:rPr>
        <w:t xml:space="preserve"> </w:t>
      </w:r>
      <w:r w:rsidRPr="00CA1B43">
        <w:rPr>
          <w:rFonts w:ascii="Sylfaen" w:hAnsi="Sylfaen"/>
          <w:szCs w:val="20"/>
        </w:rPr>
        <w:t>իրավունքների</w:t>
      </w:r>
      <w:r w:rsidRPr="00855FDC">
        <w:rPr>
          <w:rFonts w:ascii="Sylfaen" w:hAnsi="Sylfaen"/>
          <w:szCs w:val="20"/>
          <w:lang w:val="en-US"/>
        </w:rPr>
        <w:t xml:space="preserve"> </w:t>
      </w:r>
      <w:r w:rsidRPr="00CA1B43">
        <w:rPr>
          <w:rFonts w:ascii="Sylfaen" w:hAnsi="Sylfaen"/>
          <w:szCs w:val="20"/>
        </w:rPr>
        <w:t>հավատարմագրային</w:t>
      </w:r>
      <w:r w:rsidRPr="00855FDC">
        <w:rPr>
          <w:rFonts w:ascii="Sylfaen" w:hAnsi="Sylfaen"/>
          <w:szCs w:val="20"/>
          <w:lang w:val="en-US"/>
        </w:rPr>
        <w:t xml:space="preserve"> </w:t>
      </w:r>
      <w:r w:rsidRPr="00CA1B43">
        <w:rPr>
          <w:rFonts w:ascii="Sylfaen" w:hAnsi="Sylfaen"/>
          <w:szCs w:val="20"/>
        </w:rPr>
        <w:t>ֆոնդի</w:t>
      </w:r>
      <w:r w:rsidRPr="00855FDC">
        <w:rPr>
          <w:rFonts w:ascii="Sylfaen" w:hAnsi="Sylfaen"/>
          <w:szCs w:val="20"/>
          <w:lang w:val="en-US"/>
        </w:rPr>
        <w:t xml:space="preserve"> (</w:t>
      </w:r>
      <w:hyperlink r:id="rId12" w:tgtFrame="_blank" w:tooltip="http://www.coe.int/humanrightstrustfund" w:history="1">
        <w:r w:rsidRPr="00855FDC">
          <w:rPr>
            <w:rFonts w:ascii="Sylfaen" w:hAnsi="Sylfaen"/>
            <w:color w:val="0000FF"/>
            <w:szCs w:val="20"/>
            <w:u w:val="single"/>
            <w:lang w:val="en-US"/>
          </w:rPr>
          <w:t>www.coe.int/humanrightstrustfund</w:t>
        </w:r>
      </w:hyperlink>
      <w:r w:rsidRPr="00855FDC">
        <w:rPr>
          <w:rFonts w:ascii="Sylfaen" w:hAnsi="Sylfaen"/>
          <w:szCs w:val="20"/>
          <w:lang w:val="en-US"/>
        </w:rPr>
        <w:t xml:space="preserve">) </w:t>
      </w:r>
      <w:r w:rsidRPr="00CA1B43">
        <w:rPr>
          <w:rFonts w:ascii="Sylfaen" w:hAnsi="Sylfaen"/>
          <w:szCs w:val="20"/>
        </w:rPr>
        <w:t>աջակցությամբ</w:t>
      </w:r>
      <w:r w:rsidRPr="00855FDC">
        <w:rPr>
          <w:rFonts w:ascii="Sylfaen" w:hAnsi="Sylfaen"/>
          <w:szCs w:val="20"/>
          <w:lang w:val="en-US"/>
        </w:rPr>
        <w:t xml:space="preserve">: </w:t>
      </w:r>
      <w:r w:rsidRPr="00CA1B43">
        <w:rPr>
          <w:rFonts w:ascii="Sylfaen" w:hAnsi="Sylfaen"/>
          <w:szCs w:val="20"/>
        </w:rPr>
        <w:t>Այն</w:t>
      </w:r>
      <w:r w:rsidRPr="00855FDC">
        <w:rPr>
          <w:rFonts w:ascii="Sylfaen" w:hAnsi="Sylfaen"/>
          <w:szCs w:val="20"/>
          <w:lang w:val="en-US"/>
        </w:rPr>
        <w:t xml:space="preserve"> </w:t>
      </w:r>
      <w:r w:rsidRPr="00CA1B43">
        <w:rPr>
          <w:rFonts w:ascii="Sylfaen" w:hAnsi="Sylfaen"/>
          <w:szCs w:val="20"/>
        </w:rPr>
        <w:t>որևէ</w:t>
      </w:r>
      <w:r w:rsidRPr="00855FDC">
        <w:rPr>
          <w:rFonts w:ascii="Sylfaen" w:hAnsi="Sylfaen"/>
          <w:szCs w:val="20"/>
          <w:lang w:val="en-US"/>
        </w:rPr>
        <w:t xml:space="preserve"> </w:t>
      </w:r>
      <w:r w:rsidRPr="00CA1B43">
        <w:rPr>
          <w:rFonts w:ascii="Sylfaen" w:hAnsi="Sylfaen"/>
          <w:szCs w:val="20"/>
        </w:rPr>
        <w:t>կերպ</w:t>
      </w:r>
      <w:r w:rsidRPr="00855FDC">
        <w:rPr>
          <w:rFonts w:ascii="Sylfaen" w:hAnsi="Sylfaen"/>
          <w:szCs w:val="20"/>
          <w:lang w:val="en-US"/>
        </w:rPr>
        <w:t xml:space="preserve"> </w:t>
      </w:r>
      <w:r w:rsidRPr="00CA1B43">
        <w:rPr>
          <w:rFonts w:ascii="Sylfaen" w:hAnsi="Sylfaen"/>
          <w:szCs w:val="20"/>
        </w:rPr>
        <w:t>չի</w:t>
      </w:r>
      <w:r w:rsidRPr="00855FDC">
        <w:rPr>
          <w:rFonts w:ascii="Sylfaen" w:hAnsi="Sylfaen"/>
          <w:szCs w:val="20"/>
          <w:lang w:val="en-US"/>
        </w:rPr>
        <w:t xml:space="preserve"> </w:t>
      </w:r>
      <w:r w:rsidRPr="00CA1B43">
        <w:rPr>
          <w:rFonts w:ascii="Sylfaen" w:hAnsi="Sylfaen"/>
          <w:szCs w:val="20"/>
        </w:rPr>
        <w:t>պարտավորեցնում</w:t>
      </w:r>
      <w:r w:rsidRPr="00855FDC">
        <w:rPr>
          <w:rFonts w:ascii="Sylfaen" w:hAnsi="Sylfaen"/>
          <w:szCs w:val="20"/>
          <w:lang w:val="en-US"/>
        </w:rPr>
        <w:t xml:space="preserve"> </w:t>
      </w:r>
      <w:r w:rsidRPr="00CA1B43">
        <w:rPr>
          <w:rFonts w:ascii="Sylfaen" w:hAnsi="Sylfaen"/>
          <w:szCs w:val="20"/>
        </w:rPr>
        <w:t>Դատարանին</w:t>
      </w:r>
      <w:r w:rsidRPr="00855FDC">
        <w:rPr>
          <w:rFonts w:ascii="Sylfaen" w:hAnsi="Sylfaen"/>
          <w:szCs w:val="20"/>
          <w:lang w:val="en-US"/>
        </w:rPr>
        <w:t xml:space="preserve">, </w:t>
      </w:r>
      <w:r w:rsidRPr="00CA1B43">
        <w:rPr>
          <w:rFonts w:ascii="Sylfaen" w:hAnsi="Sylfaen"/>
          <w:szCs w:val="20"/>
        </w:rPr>
        <w:t>որը</w:t>
      </w:r>
      <w:r w:rsidRPr="00855FDC">
        <w:rPr>
          <w:rFonts w:ascii="Sylfaen" w:hAnsi="Sylfaen"/>
          <w:szCs w:val="20"/>
          <w:lang w:val="en-US"/>
        </w:rPr>
        <w:t xml:space="preserve"> </w:t>
      </w:r>
      <w:r w:rsidRPr="00CA1B43">
        <w:rPr>
          <w:rFonts w:ascii="Sylfaen" w:hAnsi="Sylfaen"/>
          <w:szCs w:val="20"/>
        </w:rPr>
        <w:t>պատասխանատու</w:t>
      </w:r>
      <w:r w:rsidRPr="00855FDC">
        <w:rPr>
          <w:rFonts w:ascii="Sylfaen" w:hAnsi="Sylfaen"/>
          <w:szCs w:val="20"/>
          <w:lang w:val="en-US"/>
        </w:rPr>
        <w:t xml:space="preserve"> </w:t>
      </w:r>
      <w:r w:rsidRPr="00CA1B43">
        <w:rPr>
          <w:rFonts w:ascii="Sylfaen" w:hAnsi="Sylfaen"/>
          <w:szCs w:val="20"/>
        </w:rPr>
        <w:t>չէ</w:t>
      </w:r>
      <w:r w:rsidRPr="00855FDC">
        <w:rPr>
          <w:rFonts w:ascii="Sylfaen" w:hAnsi="Sylfaen"/>
          <w:szCs w:val="20"/>
          <w:lang w:val="en-US"/>
        </w:rPr>
        <w:t xml:space="preserve"> </w:t>
      </w:r>
      <w:r w:rsidRPr="00CA1B43">
        <w:rPr>
          <w:rFonts w:ascii="Sylfaen" w:hAnsi="Sylfaen"/>
          <w:szCs w:val="20"/>
        </w:rPr>
        <w:t>թարգմանության</w:t>
      </w:r>
      <w:r w:rsidRPr="00855FDC">
        <w:rPr>
          <w:rFonts w:ascii="Sylfaen" w:hAnsi="Sylfaen"/>
          <w:szCs w:val="20"/>
          <w:lang w:val="en-US"/>
        </w:rPr>
        <w:t xml:space="preserve"> </w:t>
      </w:r>
      <w:r w:rsidRPr="00CA1B43">
        <w:rPr>
          <w:rFonts w:ascii="Sylfaen" w:hAnsi="Sylfaen"/>
          <w:szCs w:val="20"/>
        </w:rPr>
        <w:t>որակի</w:t>
      </w:r>
      <w:r w:rsidRPr="00855FDC">
        <w:rPr>
          <w:rFonts w:ascii="Sylfaen" w:hAnsi="Sylfaen"/>
          <w:szCs w:val="20"/>
          <w:lang w:val="en-US"/>
        </w:rPr>
        <w:t xml:space="preserve"> </w:t>
      </w:r>
      <w:r w:rsidRPr="00CA1B43">
        <w:rPr>
          <w:rFonts w:ascii="Sylfaen" w:hAnsi="Sylfaen"/>
          <w:szCs w:val="20"/>
        </w:rPr>
        <w:t>համար</w:t>
      </w:r>
      <w:r w:rsidRPr="00855FDC">
        <w:rPr>
          <w:rFonts w:ascii="Sylfaen" w:hAnsi="Sylfaen"/>
          <w:szCs w:val="20"/>
          <w:lang w:val="en-US"/>
        </w:rPr>
        <w:t xml:space="preserve">: </w:t>
      </w:r>
      <w:r w:rsidRPr="00CA1B43">
        <w:rPr>
          <w:rFonts w:ascii="Sylfaen" w:hAnsi="Sylfaen"/>
          <w:szCs w:val="20"/>
        </w:rPr>
        <w:t>Այն</w:t>
      </w:r>
      <w:r w:rsidRPr="00855FDC">
        <w:rPr>
          <w:rFonts w:ascii="Sylfaen" w:hAnsi="Sylfaen"/>
          <w:szCs w:val="20"/>
          <w:lang w:val="en-US"/>
        </w:rPr>
        <w:t xml:space="preserve"> </w:t>
      </w:r>
      <w:r w:rsidRPr="00CA1B43">
        <w:rPr>
          <w:rFonts w:ascii="Sylfaen" w:hAnsi="Sylfaen"/>
          <w:szCs w:val="20"/>
        </w:rPr>
        <w:t>կարելի</w:t>
      </w:r>
      <w:r w:rsidRPr="00855FDC">
        <w:rPr>
          <w:rFonts w:ascii="Sylfaen" w:hAnsi="Sylfaen"/>
          <w:szCs w:val="20"/>
          <w:lang w:val="en-US"/>
        </w:rPr>
        <w:t xml:space="preserve"> </w:t>
      </w:r>
      <w:r w:rsidRPr="00CA1B43">
        <w:rPr>
          <w:rFonts w:ascii="Sylfaen" w:hAnsi="Sylfaen"/>
          <w:szCs w:val="20"/>
        </w:rPr>
        <w:t>է</w:t>
      </w:r>
      <w:r w:rsidRPr="00855FDC">
        <w:rPr>
          <w:rFonts w:ascii="Sylfaen" w:hAnsi="Sylfaen"/>
          <w:szCs w:val="20"/>
          <w:lang w:val="en-US"/>
        </w:rPr>
        <w:t xml:space="preserve"> </w:t>
      </w:r>
      <w:r w:rsidRPr="00CA1B43">
        <w:rPr>
          <w:rFonts w:ascii="Sylfaen" w:hAnsi="Sylfaen"/>
          <w:szCs w:val="20"/>
        </w:rPr>
        <w:t>բեռնել</w:t>
      </w:r>
      <w:r w:rsidRPr="00855FDC">
        <w:rPr>
          <w:rFonts w:ascii="Sylfaen" w:hAnsi="Sylfaen"/>
          <w:szCs w:val="20"/>
          <w:lang w:val="en-US"/>
        </w:rPr>
        <w:t xml:space="preserve"> HUDOC-</w:t>
      </w:r>
      <w:r w:rsidRPr="00CA1B43">
        <w:rPr>
          <w:rFonts w:ascii="Sylfaen" w:hAnsi="Sylfaen"/>
          <w:szCs w:val="20"/>
        </w:rPr>
        <w:t>ից</w:t>
      </w:r>
      <w:r w:rsidRPr="00855FDC">
        <w:rPr>
          <w:rFonts w:ascii="Sylfaen" w:hAnsi="Sylfaen"/>
          <w:szCs w:val="20"/>
          <w:lang w:val="en-US"/>
        </w:rPr>
        <w:t xml:space="preserve">` </w:t>
      </w:r>
      <w:r w:rsidRPr="00CA1B43">
        <w:rPr>
          <w:rFonts w:ascii="Sylfaen" w:hAnsi="Sylfaen"/>
          <w:szCs w:val="20"/>
        </w:rPr>
        <w:t>Մարդու</w:t>
      </w:r>
      <w:r w:rsidRPr="00855FDC">
        <w:rPr>
          <w:rFonts w:ascii="Sylfaen" w:hAnsi="Sylfaen"/>
          <w:szCs w:val="20"/>
          <w:lang w:val="en-US"/>
        </w:rPr>
        <w:t xml:space="preserve"> </w:t>
      </w:r>
      <w:r w:rsidRPr="00CA1B43">
        <w:rPr>
          <w:rFonts w:ascii="Sylfaen" w:hAnsi="Sylfaen"/>
          <w:szCs w:val="20"/>
        </w:rPr>
        <w:t>իրավունքների</w:t>
      </w:r>
      <w:r w:rsidRPr="00855FDC">
        <w:rPr>
          <w:rFonts w:ascii="Sylfaen" w:hAnsi="Sylfaen"/>
          <w:szCs w:val="20"/>
          <w:lang w:val="en-US"/>
        </w:rPr>
        <w:t xml:space="preserve"> </w:t>
      </w:r>
      <w:r w:rsidRPr="00CA1B43">
        <w:rPr>
          <w:rFonts w:ascii="Sylfaen" w:hAnsi="Sylfaen"/>
          <w:szCs w:val="20"/>
        </w:rPr>
        <w:t>եվրոպական</w:t>
      </w:r>
      <w:r w:rsidRPr="00855FDC">
        <w:rPr>
          <w:rFonts w:ascii="Sylfaen" w:hAnsi="Sylfaen"/>
          <w:szCs w:val="20"/>
          <w:lang w:val="en-US"/>
        </w:rPr>
        <w:t xml:space="preserve"> </w:t>
      </w:r>
      <w:r w:rsidRPr="00CA1B43">
        <w:rPr>
          <w:rFonts w:ascii="Sylfaen" w:hAnsi="Sylfaen"/>
          <w:szCs w:val="20"/>
        </w:rPr>
        <w:t>դատարանի</w:t>
      </w:r>
      <w:r w:rsidRPr="00855FDC">
        <w:rPr>
          <w:rFonts w:ascii="Sylfaen" w:hAnsi="Sylfaen"/>
          <w:szCs w:val="20"/>
          <w:lang w:val="en-US"/>
        </w:rPr>
        <w:t xml:space="preserve"> </w:t>
      </w:r>
      <w:r w:rsidRPr="00CA1B43">
        <w:rPr>
          <w:rFonts w:ascii="Sylfaen" w:hAnsi="Sylfaen"/>
          <w:szCs w:val="20"/>
        </w:rPr>
        <w:t>նախադեպային</w:t>
      </w:r>
      <w:r w:rsidRPr="00855FDC">
        <w:rPr>
          <w:rFonts w:ascii="Sylfaen" w:hAnsi="Sylfaen"/>
          <w:szCs w:val="20"/>
          <w:lang w:val="en-US"/>
        </w:rPr>
        <w:t xml:space="preserve"> </w:t>
      </w:r>
      <w:r w:rsidRPr="00CA1B43">
        <w:rPr>
          <w:rFonts w:ascii="Sylfaen" w:hAnsi="Sylfaen"/>
          <w:szCs w:val="20"/>
        </w:rPr>
        <w:t>իրավունքի</w:t>
      </w:r>
      <w:r w:rsidRPr="00855FDC">
        <w:rPr>
          <w:rFonts w:ascii="Sylfaen" w:hAnsi="Sylfaen"/>
          <w:szCs w:val="20"/>
          <w:lang w:val="en-US"/>
        </w:rPr>
        <w:t xml:space="preserve"> </w:t>
      </w:r>
      <w:r w:rsidRPr="00CA1B43">
        <w:rPr>
          <w:rFonts w:ascii="Sylfaen" w:hAnsi="Sylfaen"/>
          <w:szCs w:val="20"/>
        </w:rPr>
        <w:t>տվյալների</w:t>
      </w:r>
      <w:r w:rsidRPr="00855FDC">
        <w:rPr>
          <w:rFonts w:ascii="Sylfaen" w:hAnsi="Sylfaen"/>
          <w:szCs w:val="20"/>
          <w:lang w:val="en-US"/>
        </w:rPr>
        <w:t xml:space="preserve"> </w:t>
      </w:r>
      <w:r w:rsidRPr="00CA1B43">
        <w:rPr>
          <w:rFonts w:ascii="Sylfaen" w:hAnsi="Sylfaen"/>
          <w:szCs w:val="20"/>
        </w:rPr>
        <w:t>բազայից</w:t>
      </w:r>
      <w:r w:rsidRPr="00855FDC">
        <w:rPr>
          <w:rFonts w:ascii="Sylfaen" w:hAnsi="Sylfaen"/>
          <w:szCs w:val="20"/>
          <w:lang w:val="en-US"/>
        </w:rPr>
        <w:t xml:space="preserve"> (</w:t>
      </w:r>
      <w:hyperlink r:id="rId13" w:tgtFrame="_blank" w:tooltip="http://hudoc.echr.coe.int/" w:history="1">
        <w:r w:rsidRPr="00855FDC">
          <w:rPr>
            <w:rFonts w:ascii="Sylfaen" w:hAnsi="Sylfaen"/>
            <w:color w:val="0000FF"/>
            <w:szCs w:val="20"/>
            <w:u w:val="single"/>
            <w:lang w:val="en-US"/>
          </w:rPr>
          <w:t>http://hudoc.echr.coe.int</w:t>
        </w:r>
      </w:hyperlink>
      <w:r w:rsidRPr="00855FDC">
        <w:rPr>
          <w:rFonts w:ascii="Sylfaen" w:hAnsi="Sylfaen"/>
          <w:szCs w:val="20"/>
          <w:lang w:val="en-US"/>
        </w:rPr>
        <w:t xml:space="preserve">), </w:t>
      </w:r>
      <w:r w:rsidRPr="00CA1B43">
        <w:rPr>
          <w:rFonts w:ascii="Sylfaen" w:hAnsi="Sylfaen"/>
          <w:szCs w:val="20"/>
        </w:rPr>
        <w:t>կամ</w:t>
      </w:r>
      <w:r w:rsidRPr="00855FDC">
        <w:rPr>
          <w:rFonts w:ascii="Sylfaen" w:hAnsi="Sylfaen"/>
          <w:szCs w:val="20"/>
          <w:lang w:val="en-US"/>
        </w:rPr>
        <w:t xml:space="preserve"> </w:t>
      </w:r>
      <w:r w:rsidRPr="00CA1B43">
        <w:rPr>
          <w:rFonts w:ascii="Sylfaen" w:hAnsi="Sylfaen"/>
          <w:szCs w:val="20"/>
        </w:rPr>
        <w:t>տվյալների</w:t>
      </w:r>
      <w:r w:rsidRPr="00855FDC">
        <w:rPr>
          <w:rFonts w:ascii="Sylfaen" w:hAnsi="Sylfaen"/>
          <w:szCs w:val="20"/>
          <w:lang w:val="en-US"/>
        </w:rPr>
        <w:t xml:space="preserve"> </w:t>
      </w:r>
      <w:r w:rsidRPr="00CA1B43">
        <w:rPr>
          <w:rFonts w:ascii="Sylfaen" w:hAnsi="Sylfaen"/>
          <w:szCs w:val="20"/>
        </w:rPr>
        <w:t>ցանկացած</w:t>
      </w:r>
      <w:r w:rsidRPr="00855FDC">
        <w:rPr>
          <w:rFonts w:ascii="Sylfaen" w:hAnsi="Sylfaen"/>
          <w:szCs w:val="20"/>
          <w:lang w:val="en-US"/>
        </w:rPr>
        <w:t xml:space="preserve"> </w:t>
      </w:r>
      <w:r w:rsidRPr="00CA1B43">
        <w:rPr>
          <w:rFonts w:ascii="Sylfaen" w:hAnsi="Sylfaen"/>
          <w:szCs w:val="20"/>
        </w:rPr>
        <w:t>այլ</w:t>
      </w:r>
      <w:r w:rsidRPr="00855FDC">
        <w:rPr>
          <w:rFonts w:ascii="Sylfaen" w:hAnsi="Sylfaen"/>
          <w:szCs w:val="20"/>
          <w:lang w:val="en-US"/>
        </w:rPr>
        <w:t xml:space="preserve"> </w:t>
      </w:r>
      <w:r w:rsidRPr="00CA1B43">
        <w:rPr>
          <w:rFonts w:ascii="Sylfaen" w:hAnsi="Sylfaen"/>
          <w:szCs w:val="20"/>
        </w:rPr>
        <w:t>բազայից</w:t>
      </w:r>
      <w:r w:rsidRPr="00855FDC">
        <w:rPr>
          <w:rFonts w:ascii="Sylfaen" w:hAnsi="Sylfaen"/>
          <w:szCs w:val="20"/>
          <w:lang w:val="en-US"/>
        </w:rPr>
        <w:t xml:space="preserve">, </w:t>
      </w:r>
      <w:r w:rsidRPr="00CA1B43">
        <w:rPr>
          <w:rFonts w:ascii="Sylfaen" w:hAnsi="Sylfaen"/>
          <w:szCs w:val="20"/>
        </w:rPr>
        <w:t>որին</w:t>
      </w:r>
      <w:r w:rsidRPr="00855FDC">
        <w:rPr>
          <w:rFonts w:ascii="Sylfaen" w:hAnsi="Sylfaen"/>
          <w:szCs w:val="20"/>
          <w:lang w:val="en-US"/>
        </w:rPr>
        <w:t xml:space="preserve"> HUDOC-</w:t>
      </w:r>
      <w:r w:rsidRPr="00CA1B43">
        <w:rPr>
          <w:rFonts w:ascii="Sylfaen" w:hAnsi="Sylfaen"/>
          <w:szCs w:val="20"/>
        </w:rPr>
        <w:t>ը</w:t>
      </w:r>
      <w:r w:rsidRPr="00855FDC">
        <w:rPr>
          <w:rFonts w:ascii="Sylfaen" w:hAnsi="Sylfaen"/>
          <w:szCs w:val="20"/>
          <w:lang w:val="en-US"/>
        </w:rPr>
        <w:t xml:space="preserve"> </w:t>
      </w:r>
      <w:r w:rsidRPr="00CA1B43">
        <w:rPr>
          <w:rFonts w:ascii="Sylfaen" w:hAnsi="Sylfaen"/>
          <w:szCs w:val="20"/>
        </w:rPr>
        <w:t>տրամադրել</w:t>
      </w:r>
      <w:r w:rsidRPr="00855FDC">
        <w:rPr>
          <w:rFonts w:ascii="Sylfaen" w:hAnsi="Sylfaen"/>
          <w:szCs w:val="20"/>
          <w:lang w:val="en-US"/>
        </w:rPr>
        <w:t xml:space="preserve"> </w:t>
      </w:r>
      <w:r w:rsidRPr="00CA1B43">
        <w:rPr>
          <w:rFonts w:ascii="Sylfaen" w:hAnsi="Sylfaen"/>
          <w:szCs w:val="20"/>
        </w:rPr>
        <w:t>է</w:t>
      </w:r>
      <w:r w:rsidRPr="00855FDC">
        <w:rPr>
          <w:rFonts w:ascii="Sylfaen" w:hAnsi="Sylfaen"/>
          <w:szCs w:val="20"/>
          <w:lang w:val="en-US"/>
        </w:rPr>
        <w:t xml:space="preserve"> </w:t>
      </w:r>
      <w:r w:rsidRPr="00CA1B43">
        <w:rPr>
          <w:rFonts w:ascii="Sylfaen" w:hAnsi="Sylfaen"/>
          <w:szCs w:val="20"/>
        </w:rPr>
        <w:t>փաստաթուղթը</w:t>
      </w:r>
      <w:r w:rsidRPr="00855FDC">
        <w:rPr>
          <w:rFonts w:ascii="Sylfaen" w:hAnsi="Sylfaen"/>
          <w:szCs w:val="20"/>
          <w:lang w:val="en-US"/>
        </w:rPr>
        <w:t xml:space="preserve">: </w:t>
      </w:r>
      <w:r w:rsidRPr="00CA1B43">
        <w:rPr>
          <w:rFonts w:ascii="Sylfaen" w:hAnsi="Sylfaen"/>
          <w:szCs w:val="20"/>
        </w:rPr>
        <w:t>Այն</w:t>
      </w:r>
      <w:r w:rsidRPr="00855FDC">
        <w:rPr>
          <w:rFonts w:ascii="Sylfaen" w:hAnsi="Sylfaen"/>
          <w:szCs w:val="20"/>
          <w:lang w:val="en-US"/>
        </w:rPr>
        <w:t xml:space="preserve"> </w:t>
      </w:r>
      <w:r w:rsidRPr="00CA1B43">
        <w:rPr>
          <w:rFonts w:ascii="Sylfaen" w:hAnsi="Sylfaen"/>
          <w:szCs w:val="20"/>
        </w:rPr>
        <w:t>կարող</w:t>
      </w:r>
      <w:r w:rsidRPr="00855FDC">
        <w:rPr>
          <w:rFonts w:ascii="Sylfaen" w:hAnsi="Sylfaen"/>
          <w:szCs w:val="20"/>
          <w:lang w:val="en-US"/>
        </w:rPr>
        <w:t xml:space="preserve"> </w:t>
      </w:r>
      <w:r w:rsidRPr="00CA1B43">
        <w:rPr>
          <w:rFonts w:ascii="Sylfaen" w:hAnsi="Sylfaen"/>
          <w:szCs w:val="20"/>
        </w:rPr>
        <w:t>է</w:t>
      </w:r>
      <w:r w:rsidRPr="00855FDC">
        <w:rPr>
          <w:rFonts w:ascii="Sylfaen" w:hAnsi="Sylfaen"/>
          <w:szCs w:val="20"/>
          <w:lang w:val="en-US"/>
        </w:rPr>
        <w:t xml:space="preserve"> </w:t>
      </w:r>
      <w:r w:rsidRPr="00CA1B43">
        <w:rPr>
          <w:rFonts w:ascii="Sylfaen" w:hAnsi="Sylfaen"/>
          <w:szCs w:val="20"/>
        </w:rPr>
        <w:t>վերաթողարկվել</w:t>
      </w:r>
      <w:r w:rsidRPr="00855FDC">
        <w:rPr>
          <w:rFonts w:ascii="Sylfaen" w:hAnsi="Sylfaen"/>
          <w:szCs w:val="20"/>
          <w:lang w:val="en-US"/>
        </w:rPr>
        <w:t xml:space="preserve"> </w:t>
      </w:r>
      <w:r w:rsidRPr="00CA1B43">
        <w:rPr>
          <w:rFonts w:ascii="Sylfaen" w:hAnsi="Sylfaen"/>
          <w:szCs w:val="20"/>
        </w:rPr>
        <w:t>ոչ</w:t>
      </w:r>
      <w:r w:rsidRPr="00855FDC">
        <w:rPr>
          <w:rFonts w:ascii="Sylfaen" w:hAnsi="Sylfaen"/>
          <w:szCs w:val="20"/>
          <w:lang w:val="en-US"/>
        </w:rPr>
        <w:t xml:space="preserve"> </w:t>
      </w:r>
      <w:r w:rsidRPr="00CA1B43">
        <w:rPr>
          <w:rFonts w:ascii="Sylfaen" w:hAnsi="Sylfaen"/>
          <w:szCs w:val="20"/>
        </w:rPr>
        <w:t>առևտրային</w:t>
      </w:r>
      <w:r w:rsidRPr="00855FDC">
        <w:rPr>
          <w:rFonts w:ascii="Sylfaen" w:hAnsi="Sylfaen"/>
          <w:szCs w:val="20"/>
          <w:lang w:val="en-US"/>
        </w:rPr>
        <w:t xml:space="preserve"> </w:t>
      </w:r>
      <w:r w:rsidRPr="00CA1B43">
        <w:rPr>
          <w:rFonts w:ascii="Sylfaen" w:hAnsi="Sylfaen"/>
          <w:szCs w:val="20"/>
        </w:rPr>
        <w:t>նպատակներով</w:t>
      </w:r>
      <w:r w:rsidRPr="00855FDC">
        <w:rPr>
          <w:rFonts w:ascii="Sylfaen" w:hAnsi="Sylfaen"/>
          <w:szCs w:val="20"/>
          <w:lang w:val="en-US"/>
        </w:rPr>
        <w:t xml:space="preserve">` </w:t>
      </w:r>
      <w:r w:rsidRPr="00CA1B43">
        <w:rPr>
          <w:rFonts w:ascii="Sylfaen" w:hAnsi="Sylfaen"/>
          <w:szCs w:val="20"/>
        </w:rPr>
        <w:t>պայմանով</w:t>
      </w:r>
      <w:r w:rsidRPr="00855FDC">
        <w:rPr>
          <w:rFonts w:ascii="Sylfaen" w:hAnsi="Sylfaen"/>
          <w:szCs w:val="20"/>
          <w:lang w:val="en-US"/>
        </w:rPr>
        <w:t xml:space="preserve">, </w:t>
      </w:r>
      <w:r w:rsidRPr="00CA1B43">
        <w:rPr>
          <w:rFonts w:ascii="Sylfaen" w:hAnsi="Sylfaen"/>
          <w:szCs w:val="20"/>
        </w:rPr>
        <w:t>որ</w:t>
      </w:r>
      <w:r w:rsidRPr="00855FDC">
        <w:rPr>
          <w:rFonts w:ascii="Sylfaen" w:hAnsi="Sylfaen"/>
          <w:szCs w:val="20"/>
          <w:lang w:val="en-US"/>
        </w:rPr>
        <w:t xml:space="preserve"> </w:t>
      </w:r>
      <w:r w:rsidRPr="00CA1B43">
        <w:rPr>
          <w:rFonts w:ascii="Sylfaen" w:hAnsi="Sylfaen"/>
          <w:szCs w:val="20"/>
        </w:rPr>
        <w:t>գործի</w:t>
      </w:r>
      <w:r w:rsidRPr="00855FDC">
        <w:rPr>
          <w:rFonts w:ascii="Sylfaen" w:hAnsi="Sylfaen"/>
          <w:szCs w:val="20"/>
          <w:lang w:val="en-US"/>
        </w:rPr>
        <w:t xml:space="preserve"> </w:t>
      </w:r>
      <w:r w:rsidRPr="00CA1B43">
        <w:rPr>
          <w:rFonts w:ascii="Sylfaen" w:hAnsi="Sylfaen"/>
          <w:szCs w:val="20"/>
        </w:rPr>
        <w:t>անվանումը</w:t>
      </w:r>
      <w:r w:rsidRPr="00855FDC">
        <w:rPr>
          <w:rFonts w:ascii="Sylfaen" w:hAnsi="Sylfaen"/>
          <w:szCs w:val="20"/>
          <w:lang w:val="en-US"/>
        </w:rPr>
        <w:t xml:space="preserve"> </w:t>
      </w:r>
      <w:r w:rsidRPr="00CA1B43">
        <w:rPr>
          <w:rFonts w:ascii="Sylfaen" w:hAnsi="Sylfaen"/>
          <w:szCs w:val="20"/>
        </w:rPr>
        <w:t>ներկայացվի</w:t>
      </w:r>
      <w:r w:rsidRPr="00855FDC">
        <w:rPr>
          <w:rFonts w:ascii="Sylfaen" w:hAnsi="Sylfaen"/>
          <w:szCs w:val="20"/>
          <w:lang w:val="en-US"/>
        </w:rPr>
        <w:t xml:space="preserve"> </w:t>
      </w:r>
      <w:r w:rsidRPr="00CA1B43">
        <w:rPr>
          <w:rFonts w:ascii="Sylfaen" w:hAnsi="Sylfaen"/>
          <w:szCs w:val="20"/>
        </w:rPr>
        <w:t>ամբողջական</w:t>
      </w:r>
      <w:r w:rsidRPr="00855FDC">
        <w:rPr>
          <w:rFonts w:ascii="Sylfaen" w:hAnsi="Sylfaen"/>
          <w:szCs w:val="20"/>
          <w:lang w:val="en-US"/>
        </w:rPr>
        <w:t xml:space="preserve"> </w:t>
      </w:r>
      <w:r w:rsidRPr="00CA1B43">
        <w:rPr>
          <w:rFonts w:ascii="Sylfaen" w:hAnsi="Sylfaen"/>
          <w:szCs w:val="20"/>
        </w:rPr>
        <w:t>և</w:t>
      </w:r>
      <w:r w:rsidRPr="00855FDC">
        <w:rPr>
          <w:rFonts w:ascii="Sylfaen" w:hAnsi="Sylfaen"/>
          <w:szCs w:val="20"/>
          <w:lang w:val="en-US"/>
        </w:rPr>
        <w:t xml:space="preserve"> </w:t>
      </w:r>
      <w:r w:rsidRPr="00CA1B43">
        <w:rPr>
          <w:rFonts w:ascii="Sylfaen" w:hAnsi="Sylfaen"/>
          <w:szCs w:val="20"/>
        </w:rPr>
        <w:t>ուղեկցվի</w:t>
      </w:r>
      <w:r w:rsidRPr="00855FDC">
        <w:rPr>
          <w:rFonts w:ascii="Sylfaen" w:hAnsi="Sylfaen"/>
          <w:szCs w:val="20"/>
          <w:lang w:val="en-US"/>
        </w:rPr>
        <w:t xml:space="preserve"> </w:t>
      </w:r>
      <w:r w:rsidRPr="00CA1B43">
        <w:rPr>
          <w:rFonts w:ascii="Sylfaen" w:hAnsi="Sylfaen"/>
          <w:szCs w:val="20"/>
        </w:rPr>
        <w:t>վերը</w:t>
      </w:r>
      <w:r w:rsidRPr="00855FDC">
        <w:rPr>
          <w:rFonts w:ascii="Sylfaen" w:hAnsi="Sylfaen"/>
          <w:szCs w:val="20"/>
          <w:lang w:val="en-US"/>
        </w:rPr>
        <w:t xml:space="preserve"> </w:t>
      </w:r>
      <w:r w:rsidRPr="00CA1B43">
        <w:rPr>
          <w:rFonts w:ascii="Sylfaen" w:hAnsi="Sylfaen"/>
          <w:szCs w:val="20"/>
        </w:rPr>
        <w:t>նշված</w:t>
      </w:r>
      <w:r w:rsidRPr="00855FDC">
        <w:rPr>
          <w:rFonts w:ascii="Sylfaen" w:hAnsi="Sylfaen"/>
          <w:szCs w:val="20"/>
          <w:lang w:val="en-US"/>
        </w:rPr>
        <w:t xml:space="preserve"> </w:t>
      </w:r>
      <w:r w:rsidRPr="00CA1B43">
        <w:rPr>
          <w:rFonts w:ascii="Sylfaen" w:hAnsi="Sylfaen"/>
          <w:szCs w:val="20"/>
        </w:rPr>
        <w:t>հեղինակային</w:t>
      </w:r>
      <w:r w:rsidRPr="00855FDC">
        <w:rPr>
          <w:rFonts w:ascii="Sylfaen" w:hAnsi="Sylfaen"/>
          <w:szCs w:val="20"/>
          <w:lang w:val="en-US"/>
        </w:rPr>
        <w:t xml:space="preserve"> </w:t>
      </w:r>
      <w:r w:rsidRPr="00CA1B43">
        <w:rPr>
          <w:rFonts w:ascii="Sylfaen" w:hAnsi="Sylfaen"/>
          <w:szCs w:val="20"/>
        </w:rPr>
        <w:t>իրավունքի</w:t>
      </w:r>
      <w:r w:rsidRPr="00855FDC">
        <w:rPr>
          <w:rFonts w:ascii="Sylfaen" w:hAnsi="Sylfaen"/>
          <w:szCs w:val="20"/>
          <w:lang w:val="en-US"/>
        </w:rPr>
        <w:t xml:space="preserve"> </w:t>
      </w:r>
      <w:r w:rsidRPr="00CA1B43">
        <w:rPr>
          <w:rFonts w:ascii="Sylfaen" w:hAnsi="Sylfaen"/>
          <w:szCs w:val="20"/>
        </w:rPr>
        <w:t>նշումներով</w:t>
      </w:r>
      <w:r w:rsidRPr="00855FDC">
        <w:rPr>
          <w:rFonts w:ascii="Sylfaen" w:hAnsi="Sylfaen"/>
          <w:szCs w:val="20"/>
          <w:lang w:val="en-US"/>
        </w:rPr>
        <w:t xml:space="preserve">, </w:t>
      </w:r>
      <w:r w:rsidRPr="00CA1B43">
        <w:rPr>
          <w:rFonts w:ascii="Sylfaen" w:hAnsi="Sylfaen"/>
          <w:szCs w:val="20"/>
        </w:rPr>
        <w:t>ինչպես</w:t>
      </w:r>
      <w:r w:rsidRPr="00855FDC">
        <w:rPr>
          <w:rFonts w:ascii="Sylfaen" w:hAnsi="Sylfaen"/>
          <w:szCs w:val="20"/>
          <w:lang w:val="en-US"/>
        </w:rPr>
        <w:t xml:space="preserve"> </w:t>
      </w:r>
      <w:r w:rsidRPr="00CA1B43">
        <w:rPr>
          <w:rFonts w:ascii="Sylfaen" w:hAnsi="Sylfaen"/>
          <w:szCs w:val="20"/>
        </w:rPr>
        <w:t>նաև</w:t>
      </w:r>
      <w:r w:rsidRPr="00855FDC">
        <w:rPr>
          <w:rFonts w:ascii="Sylfaen" w:hAnsi="Sylfaen"/>
          <w:szCs w:val="20"/>
          <w:lang w:val="en-US"/>
        </w:rPr>
        <w:t xml:space="preserve"> </w:t>
      </w:r>
      <w:r w:rsidRPr="00CA1B43">
        <w:rPr>
          <w:rFonts w:ascii="Sylfaen" w:hAnsi="Sylfaen"/>
          <w:szCs w:val="20"/>
        </w:rPr>
        <w:t>Մարդու</w:t>
      </w:r>
      <w:r w:rsidRPr="00855FDC">
        <w:rPr>
          <w:rFonts w:ascii="Sylfaen" w:hAnsi="Sylfaen"/>
          <w:szCs w:val="20"/>
          <w:lang w:val="en-US"/>
        </w:rPr>
        <w:t xml:space="preserve"> </w:t>
      </w:r>
      <w:r w:rsidRPr="00CA1B43">
        <w:rPr>
          <w:rFonts w:ascii="Sylfaen" w:hAnsi="Sylfaen"/>
          <w:szCs w:val="20"/>
        </w:rPr>
        <w:t>իրավունքների</w:t>
      </w:r>
      <w:r w:rsidRPr="00855FDC">
        <w:rPr>
          <w:rFonts w:ascii="Sylfaen" w:hAnsi="Sylfaen"/>
          <w:szCs w:val="20"/>
          <w:lang w:val="en-US"/>
        </w:rPr>
        <w:t xml:space="preserve"> </w:t>
      </w:r>
      <w:r w:rsidRPr="00CA1B43">
        <w:rPr>
          <w:rFonts w:ascii="Sylfaen" w:hAnsi="Sylfaen"/>
          <w:szCs w:val="20"/>
        </w:rPr>
        <w:t>հավատարմագրային</w:t>
      </w:r>
      <w:r w:rsidRPr="00855FDC">
        <w:rPr>
          <w:rFonts w:ascii="Sylfaen" w:hAnsi="Sylfaen"/>
          <w:szCs w:val="20"/>
          <w:lang w:val="en-US"/>
        </w:rPr>
        <w:t xml:space="preserve"> </w:t>
      </w:r>
      <w:r w:rsidRPr="00CA1B43">
        <w:rPr>
          <w:rFonts w:ascii="Sylfaen" w:hAnsi="Sylfaen"/>
          <w:szCs w:val="20"/>
        </w:rPr>
        <w:t>ֆոնդին</w:t>
      </w:r>
      <w:r w:rsidRPr="00855FDC">
        <w:rPr>
          <w:rFonts w:ascii="Sylfaen" w:hAnsi="Sylfaen"/>
          <w:szCs w:val="20"/>
          <w:lang w:val="en-US"/>
        </w:rPr>
        <w:t xml:space="preserve"> </w:t>
      </w:r>
      <w:r w:rsidRPr="00CA1B43">
        <w:rPr>
          <w:rFonts w:ascii="Sylfaen" w:hAnsi="Sylfaen"/>
          <w:szCs w:val="20"/>
        </w:rPr>
        <w:t>հղումով</w:t>
      </w:r>
      <w:r w:rsidRPr="00855FDC">
        <w:rPr>
          <w:rFonts w:ascii="Sylfaen" w:hAnsi="Sylfaen"/>
          <w:szCs w:val="20"/>
          <w:lang w:val="en-US"/>
        </w:rPr>
        <w:t xml:space="preserve">: </w:t>
      </w:r>
      <w:r w:rsidRPr="00CA1B43">
        <w:rPr>
          <w:rFonts w:ascii="Sylfaen" w:hAnsi="Sylfaen"/>
          <w:szCs w:val="20"/>
        </w:rPr>
        <w:t>Առևտրային</w:t>
      </w:r>
      <w:r w:rsidRPr="00855FDC">
        <w:rPr>
          <w:rFonts w:ascii="Sylfaen" w:hAnsi="Sylfaen"/>
          <w:szCs w:val="20"/>
          <w:lang w:val="en-US"/>
        </w:rPr>
        <w:t xml:space="preserve"> </w:t>
      </w:r>
      <w:r w:rsidRPr="00CA1B43">
        <w:rPr>
          <w:rFonts w:ascii="Sylfaen" w:hAnsi="Sylfaen"/>
          <w:szCs w:val="20"/>
        </w:rPr>
        <w:t>նպատակներով</w:t>
      </w:r>
      <w:r w:rsidRPr="00855FDC">
        <w:rPr>
          <w:rFonts w:ascii="Sylfaen" w:hAnsi="Sylfaen"/>
          <w:szCs w:val="20"/>
          <w:lang w:val="en-US"/>
        </w:rPr>
        <w:t xml:space="preserve"> </w:t>
      </w:r>
      <w:r w:rsidRPr="00CA1B43">
        <w:rPr>
          <w:rFonts w:ascii="Sylfaen" w:hAnsi="Sylfaen"/>
          <w:szCs w:val="20"/>
        </w:rPr>
        <w:t>սույն</w:t>
      </w:r>
      <w:r w:rsidRPr="00855FDC">
        <w:rPr>
          <w:rFonts w:ascii="Sylfaen" w:hAnsi="Sylfaen"/>
          <w:szCs w:val="20"/>
          <w:lang w:val="en-US"/>
        </w:rPr>
        <w:t xml:space="preserve"> </w:t>
      </w:r>
      <w:r w:rsidRPr="00CA1B43">
        <w:rPr>
          <w:rFonts w:ascii="Sylfaen" w:hAnsi="Sylfaen"/>
          <w:szCs w:val="20"/>
        </w:rPr>
        <w:t>թարգմանությունը</w:t>
      </w:r>
      <w:r w:rsidRPr="00855FDC">
        <w:rPr>
          <w:rFonts w:ascii="Sylfaen" w:hAnsi="Sylfaen"/>
          <w:szCs w:val="20"/>
          <w:lang w:val="en-US"/>
        </w:rPr>
        <w:t xml:space="preserve"> </w:t>
      </w:r>
      <w:r w:rsidRPr="00CA1B43">
        <w:rPr>
          <w:rFonts w:ascii="Sylfaen" w:hAnsi="Sylfaen"/>
          <w:szCs w:val="20"/>
        </w:rPr>
        <w:t>մասնակիորեն</w:t>
      </w:r>
      <w:r w:rsidRPr="00855FDC">
        <w:rPr>
          <w:rFonts w:ascii="Sylfaen" w:hAnsi="Sylfaen"/>
          <w:szCs w:val="20"/>
          <w:lang w:val="en-US"/>
        </w:rPr>
        <w:t xml:space="preserve"> </w:t>
      </w:r>
      <w:r w:rsidRPr="00CA1B43">
        <w:rPr>
          <w:rFonts w:ascii="Sylfaen" w:hAnsi="Sylfaen"/>
          <w:szCs w:val="20"/>
        </w:rPr>
        <w:t>կամ</w:t>
      </w:r>
      <w:r w:rsidRPr="00855FDC">
        <w:rPr>
          <w:rFonts w:ascii="Sylfaen" w:hAnsi="Sylfaen"/>
          <w:szCs w:val="20"/>
          <w:lang w:val="en-US"/>
        </w:rPr>
        <w:t xml:space="preserve"> </w:t>
      </w:r>
      <w:r w:rsidRPr="00CA1B43">
        <w:rPr>
          <w:rFonts w:ascii="Sylfaen" w:hAnsi="Sylfaen"/>
          <w:szCs w:val="20"/>
        </w:rPr>
        <w:t>ամբողջապես</w:t>
      </w:r>
      <w:r w:rsidRPr="00855FDC">
        <w:rPr>
          <w:rFonts w:ascii="Sylfaen" w:hAnsi="Sylfaen"/>
          <w:szCs w:val="20"/>
          <w:lang w:val="en-US"/>
        </w:rPr>
        <w:t xml:space="preserve"> </w:t>
      </w:r>
      <w:r w:rsidRPr="00CA1B43">
        <w:rPr>
          <w:rFonts w:ascii="Sylfaen" w:hAnsi="Sylfaen"/>
          <w:szCs w:val="20"/>
        </w:rPr>
        <w:t>օգտագործելու</w:t>
      </w:r>
      <w:r w:rsidRPr="00855FDC">
        <w:rPr>
          <w:rFonts w:ascii="Sylfaen" w:hAnsi="Sylfaen"/>
          <w:szCs w:val="20"/>
          <w:lang w:val="en-US"/>
        </w:rPr>
        <w:t xml:space="preserve"> </w:t>
      </w:r>
      <w:r w:rsidRPr="00CA1B43">
        <w:rPr>
          <w:rFonts w:ascii="Sylfaen" w:hAnsi="Sylfaen"/>
          <w:szCs w:val="20"/>
        </w:rPr>
        <w:t>դեպքում</w:t>
      </w:r>
      <w:r w:rsidRPr="00855FDC">
        <w:rPr>
          <w:rFonts w:ascii="Sylfaen" w:hAnsi="Sylfaen"/>
          <w:szCs w:val="20"/>
          <w:lang w:val="en-US"/>
        </w:rPr>
        <w:t xml:space="preserve">, </w:t>
      </w:r>
      <w:r w:rsidRPr="00CA1B43">
        <w:rPr>
          <w:rFonts w:ascii="Sylfaen" w:hAnsi="Sylfaen"/>
          <w:szCs w:val="20"/>
        </w:rPr>
        <w:t>հարկ</w:t>
      </w:r>
      <w:r w:rsidRPr="00855FDC">
        <w:rPr>
          <w:rFonts w:ascii="Sylfaen" w:hAnsi="Sylfaen"/>
          <w:szCs w:val="20"/>
          <w:lang w:val="en-US"/>
        </w:rPr>
        <w:t xml:space="preserve"> </w:t>
      </w:r>
      <w:r w:rsidRPr="00CA1B43">
        <w:rPr>
          <w:rFonts w:ascii="Sylfaen" w:hAnsi="Sylfaen"/>
          <w:szCs w:val="20"/>
        </w:rPr>
        <w:t>է</w:t>
      </w:r>
      <w:r w:rsidRPr="00855FDC">
        <w:rPr>
          <w:rFonts w:ascii="Sylfaen" w:hAnsi="Sylfaen"/>
          <w:szCs w:val="20"/>
          <w:lang w:val="en-US"/>
        </w:rPr>
        <w:t xml:space="preserve"> </w:t>
      </w:r>
      <w:r w:rsidRPr="00CA1B43">
        <w:rPr>
          <w:rFonts w:ascii="Sylfaen" w:hAnsi="Sylfaen"/>
          <w:szCs w:val="20"/>
        </w:rPr>
        <w:t>այդ</w:t>
      </w:r>
      <w:r w:rsidRPr="00855FDC">
        <w:rPr>
          <w:rFonts w:ascii="Sylfaen" w:hAnsi="Sylfaen"/>
          <w:szCs w:val="20"/>
          <w:lang w:val="en-US"/>
        </w:rPr>
        <w:t xml:space="preserve"> </w:t>
      </w:r>
      <w:r w:rsidRPr="00CA1B43">
        <w:rPr>
          <w:rFonts w:ascii="Sylfaen" w:hAnsi="Sylfaen"/>
          <w:szCs w:val="20"/>
        </w:rPr>
        <w:t>մասին</w:t>
      </w:r>
      <w:r w:rsidRPr="00855FDC">
        <w:rPr>
          <w:rFonts w:ascii="Sylfaen" w:hAnsi="Sylfaen"/>
          <w:szCs w:val="20"/>
          <w:lang w:val="en-US"/>
        </w:rPr>
        <w:t xml:space="preserve"> </w:t>
      </w:r>
      <w:r w:rsidRPr="00CA1B43">
        <w:rPr>
          <w:rFonts w:ascii="Sylfaen" w:hAnsi="Sylfaen"/>
          <w:szCs w:val="20"/>
        </w:rPr>
        <w:t>տեղեկացնել</w:t>
      </w:r>
      <w:r w:rsidRPr="00855FDC">
        <w:rPr>
          <w:rFonts w:ascii="Sylfaen" w:hAnsi="Sylfaen"/>
          <w:szCs w:val="20"/>
          <w:lang w:val="en-US"/>
        </w:rPr>
        <w:t xml:space="preserve"> </w:t>
      </w:r>
      <w:r w:rsidRPr="00CA1B43">
        <w:rPr>
          <w:rFonts w:ascii="Sylfaen" w:hAnsi="Sylfaen"/>
          <w:szCs w:val="20"/>
        </w:rPr>
        <w:t>հետևյալ</w:t>
      </w:r>
      <w:r w:rsidRPr="00855FDC">
        <w:rPr>
          <w:rFonts w:ascii="Sylfaen" w:hAnsi="Sylfaen"/>
          <w:szCs w:val="20"/>
          <w:lang w:val="en-US"/>
        </w:rPr>
        <w:t xml:space="preserve"> </w:t>
      </w:r>
      <w:r w:rsidRPr="00CA1B43">
        <w:rPr>
          <w:rFonts w:ascii="Sylfaen" w:hAnsi="Sylfaen"/>
          <w:szCs w:val="20"/>
        </w:rPr>
        <w:t>հասցեով</w:t>
      </w:r>
      <w:r w:rsidRPr="00855FDC">
        <w:rPr>
          <w:rFonts w:ascii="Sylfaen" w:hAnsi="Sylfaen"/>
          <w:szCs w:val="20"/>
          <w:lang w:val="en-US"/>
        </w:rPr>
        <w:t xml:space="preserve">` </w:t>
      </w:r>
      <w:hyperlink r:id="rId14" w:tgtFrame="_blank" w:tooltip="mailto:publishing@echr.coe.int" w:history="1">
        <w:r w:rsidRPr="00855FDC">
          <w:rPr>
            <w:rFonts w:ascii="Sylfaen" w:hAnsi="Sylfaen"/>
            <w:color w:val="0000FF"/>
            <w:szCs w:val="20"/>
            <w:u w:val="single"/>
            <w:lang w:val="en-US"/>
          </w:rPr>
          <w:t>publishing@echr.coe.int</w:t>
        </w:r>
      </w:hyperlink>
    </w:p>
    <w:p w:rsidR="00922AF3" w:rsidRPr="00855FDC" w:rsidRDefault="00922AF3" w:rsidP="00922AF3">
      <w:pPr>
        <w:ind w:right="-45"/>
        <w:jc w:val="both"/>
        <w:rPr>
          <w:rFonts w:ascii="Sylfaen" w:hAnsi="Sylfaen"/>
          <w:b/>
          <w:bCs/>
          <w:szCs w:val="20"/>
          <w:lang w:val="en-US"/>
        </w:rPr>
      </w:pPr>
    </w:p>
    <w:p w:rsidR="00922AF3" w:rsidRPr="00CA1B43" w:rsidRDefault="00922AF3" w:rsidP="00922AF3">
      <w:pPr>
        <w:ind w:right="-45"/>
        <w:jc w:val="both"/>
        <w:rPr>
          <w:rFonts w:ascii="Sylfaen" w:hAnsi="Sylfaen"/>
          <w:b/>
          <w:bCs/>
          <w:szCs w:val="20"/>
          <w:lang w:val="en-US"/>
        </w:rPr>
      </w:pPr>
      <w:r w:rsidRPr="00CA1B43">
        <w:rPr>
          <w:rFonts w:ascii="Sylfaen" w:hAnsi="Sylfaen"/>
          <w:b/>
          <w:bCs/>
          <w:szCs w:val="20"/>
          <w:lang w:val="en-US"/>
        </w:rPr>
        <w:t>© Council of Europe/European Court of Human Rights, 201</w:t>
      </w:r>
      <w:r w:rsidRPr="00CA1B43">
        <w:rPr>
          <w:rFonts w:ascii="Sylfaen" w:hAnsi="Sylfaen"/>
          <w:b/>
          <w:bCs/>
          <w:szCs w:val="20"/>
          <w:lang w:val="hy-AM"/>
        </w:rPr>
        <w:t>3</w:t>
      </w:r>
    </w:p>
    <w:p w:rsidR="00922AF3" w:rsidRPr="00CA1B43" w:rsidRDefault="00922AF3" w:rsidP="00922AF3">
      <w:pPr>
        <w:ind w:right="-45"/>
        <w:jc w:val="both"/>
        <w:rPr>
          <w:rFonts w:ascii="Sylfaen" w:hAnsi="Sylfaen"/>
          <w:szCs w:val="20"/>
          <w:lang w:val="en-US"/>
        </w:rPr>
      </w:pPr>
    </w:p>
    <w:p w:rsidR="00922AF3" w:rsidRPr="00CA1B43" w:rsidRDefault="00922AF3" w:rsidP="00922AF3">
      <w:pPr>
        <w:ind w:right="-45"/>
        <w:jc w:val="both"/>
        <w:rPr>
          <w:rFonts w:ascii="Sylfaen" w:hAnsi="Sylfaen"/>
          <w:szCs w:val="20"/>
          <w:lang w:val="en-US"/>
        </w:rPr>
      </w:pPr>
      <w:r w:rsidRPr="00CA1B43">
        <w:rPr>
          <w:rFonts w:ascii="Sylfaen" w:hAnsi="Sylfaen"/>
          <w:szCs w:val="20"/>
          <w:lang w:val="en-US"/>
        </w:rPr>
        <w:t>The official languages of the European Court of Human Rights are English and French. This translation was commissioned with the support of the Human Rights Trust Fund of the Council of Europe (</w:t>
      </w:r>
      <w:hyperlink r:id="rId15" w:tgtFrame="_blank" w:history="1">
        <w:r w:rsidRPr="00CA1B43">
          <w:rPr>
            <w:rFonts w:ascii="Sylfaen" w:hAnsi="Sylfaen"/>
            <w:color w:val="0000FF"/>
            <w:szCs w:val="20"/>
            <w:u w:val="single"/>
            <w:lang w:val="en-US"/>
          </w:rPr>
          <w:t>www.coe.int/humanrightstrustfund</w:t>
        </w:r>
      </w:hyperlink>
      <w:r w:rsidRPr="00CA1B43">
        <w:rPr>
          <w:rFonts w:ascii="Sylfaen" w:hAnsi="Sylfaen"/>
          <w:szCs w:val="20"/>
          <w:lang w:val="en-US"/>
        </w:rPr>
        <w:t>). It does not bind the Court, nor does the Court take any responsibility for the quality thereof. It may be downloaded from the HUDOC case-law database of the European Court of Human Rights (</w:t>
      </w:r>
      <w:hyperlink r:id="rId16" w:tgtFrame="_blank" w:history="1">
        <w:r w:rsidRPr="00CA1B43">
          <w:rPr>
            <w:rFonts w:ascii="Sylfaen" w:hAnsi="Sylfaen"/>
            <w:color w:val="0000FF"/>
            <w:szCs w:val="20"/>
            <w:u w:val="single"/>
            <w:lang w:val="en-US"/>
          </w:rPr>
          <w:t>http://hudoc.echr.coe.int</w:t>
        </w:r>
      </w:hyperlink>
      <w:r w:rsidRPr="00CA1B43">
        <w:rPr>
          <w:rFonts w:ascii="Sylfaen" w:hAnsi="Sylfaen"/>
          <w:szCs w:val="20"/>
          <w:lang w:val="en-US"/>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r:id="rId17" w:tgtFrame="_blank" w:history="1">
        <w:r w:rsidRPr="00CA1B43">
          <w:rPr>
            <w:rFonts w:ascii="Sylfaen" w:hAnsi="Sylfaen"/>
            <w:color w:val="0000FF"/>
            <w:szCs w:val="20"/>
            <w:u w:val="single"/>
            <w:lang w:val="en-US"/>
          </w:rPr>
          <w:t>publishing@echr.coe.int</w:t>
        </w:r>
      </w:hyperlink>
      <w:r w:rsidRPr="00CA1B43">
        <w:rPr>
          <w:rFonts w:ascii="Sylfaen" w:hAnsi="Sylfaen"/>
          <w:szCs w:val="20"/>
          <w:lang w:val="en-US"/>
        </w:rPr>
        <w:t>.</w:t>
      </w:r>
    </w:p>
    <w:p w:rsidR="00922AF3" w:rsidRPr="00CA1B43" w:rsidRDefault="00922AF3" w:rsidP="00922AF3">
      <w:pPr>
        <w:ind w:right="-45"/>
        <w:jc w:val="both"/>
        <w:rPr>
          <w:rFonts w:ascii="Sylfaen" w:hAnsi="Sylfaen" w:cs="Arial"/>
          <w:szCs w:val="20"/>
          <w:lang w:val="hy-AM"/>
        </w:rPr>
      </w:pPr>
    </w:p>
    <w:p w:rsidR="00922AF3" w:rsidRPr="00CA1B43" w:rsidRDefault="00922AF3" w:rsidP="00922AF3">
      <w:pPr>
        <w:ind w:right="-45"/>
        <w:jc w:val="both"/>
        <w:rPr>
          <w:rFonts w:ascii="Sylfaen" w:hAnsi="Sylfaen"/>
          <w:b/>
          <w:bCs/>
          <w:szCs w:val="20"/>
          <w:lang w:val="hy-AM"/>
        </w:rPr>
      </w:pPr>
      <w:r w:rsidRPr="00CA1B43">
        <w:rPr>
          <w:rFonts w:ascii="Sylfaen" w:hAnsi="Sylfaen"/>
          <w:b/>
          <w:bCs/>
          <w:szCs w:val="20"/>
          <w:lang w:val="fr-FR"/>
        </w:rPr>
        <w:t>©Conseil de l</w:t>
      </w:r>
      <w:r w:rsidR="00133BF3">
        <w:rPr>
          <w:rFonts w:ascii="Sylfaen" w:hAnsi="Sylfaen"/>
          <w:b/>
          <w:bCs/>
          <w:szCs w:val="20"/>
          <w:lang w:val="fr-FR"/>
        </w:rPr>
        <w:t>’</w:t>
      </w:r>
      <w:r w:rsidRPr="00CA1B43">
        <w:rPr>
          <w:rFonts w:ascii="Sylfaen" w:hAnsi="Sylfaen"/>
          <w:b/>
          <w:bCs/>
          <w:szCs w:val="20"/>
          <w:lang w:val="fr-FR"/>
        </w:rPr>
        <w:t>Europe/Cour européenne des droits de l</w:t>
      </w:r>
      <w:r w:rsidR="00133BF3">
        <w:rPr>
          <w:rFonts w:ascii="Sylfaen" w:hAnsi="Sylfaen"/>
          <w:b/>
          <w:bCs/>
          <w:szCs w:val="20"/>
          <w:lang w:val="fr-FR"/>
        </w:rPr>
        <w:t>’</w:t>
      </w:r>
      <w:r w:rsidRPr="00CA1B43">
        <w:rPr>
          <w:rFonts w:ascii="Sylfaen" w:hAnsi="Sylfaen"/>
          <w:b/>
          <w:bCs/>
          <w:szCs w:val="20"/>
          <w:lang w:val="fr-FR"/>
        </w:rPr>
        <w:t>homme, 201</w:t>
      </w:r>
      <w:r w:rsidRPr="00CA1B43">
        <w:rPr>
          <w:rFonts w:ascii="Sylfaen" w:hAnsi="Sylfaen"/>
          <w:b/>
          <w:bCs/>
          <w:szCs w:val="20"/>
          <w:lang w:val="hy-AM"/>
        </w:rPr>
        <w:t>3</w:t>
      </w:r>
    </w:p>
    <w:p w:rsidR="00922AF3" w:rsidRPr="00CA1B43" w:rsidRDefault="00922AF3" w:rsidP="00922AF3">
      <w:pPr>
        <w:pStyle w:val="ClinFooter"/>
        <w:spacing w:before="0"/>
        <w:jc w:val="both"/>
        <w:rPr>
          <w:rFonts w:ascii="Sylfaen" w:hAnsi="Sylfaen"/>
          <w:szCs w:val="20"/>
          <w:lang w:val="fr-FR"/>
        </w:rPr>
      </w:pPr>
    </w:p>
    <w:p w:rsidR="009D7B9A" w:rsidRDefault="00922AF3" w:rsidP="00922AF3">
      <w:pPr>
        <w:pStyle w:val="ClinFooter"/>
        <w:spacing w:before="0"/>
        <w:jc w:val="both"/>
        <w:rPr>
          <w:rFonts w:ascii="Sylfaen" w:hAnsi="Sylfaen"/>
          <w:szCs w:val="20"/>
          <w:lang w:val="fr-FR"/>
        </w:rPr>
      </w:pPr>
      <w:r w:rsidRPr="00CA1B43">
        <w:rPr>
          <w:rFonts w:ascii="Sylfaen" w:hAnsi="Sylfaen"/>
          <w:szCs w:val="20"/>
          <w:lang w:val="fr-FR"/>
        </w:rPr>
        <w:t>Les langues officielles de la Cour européenne des droits de l</w:t>
      </w:r>
      <w:r w:rsidR="00133BF3">
        <w:rPr>
          <w:rFonts w:ascii="Sylfaen" w:hAnsi="Sylfaen"/>
          <w:szCs w:val="20"/>
          <w:lang w:val="fr-FR"/>
        </w:rPr>
        <w:t>’</w:t>
      </w:r>
      <w:r w:rsidRPr="00CA1B43">
        <w:rPr>
          <w:rFonts w:ascii="Sylfaen" w:hAnsi="Sylfaen"/>
          <w:szCs w:val="20"/>
          <w:lang w:val="fr-FR"/>
        </w:rPr>
        <w:t>homme sont le français et l</w:t>
      </w:r>
      <w:r w:rsidR="00133BF3">
        <w:rPr>
          <w:rFonts w:ascii="Sylfaen" w:hAnsi="Sylfaen"/>
          <w:szCs w:val="20"/>
          <w:lang w:val="fr-FR"/>
        </w:rPr>
        <w:t>’</w:t>
      </w:r>
      <w:r w:rsidRPr="00CA1B43">
        <w:rPr>
          <w:rFonts w:ascii="Sylfaen" w:hAnsi="Sylfaen"/>
          <w:szCs w:val="20"/>
          <w:lang w:val="fr-FR"/>
        </w:rPr>
        <w:t>anglais. La présente traduction a été effectuée avec le soutien du Fonds fiduciaire pour les droits de l</w:t>
      </w:r>
      <w:r w:rsidR="00133BF3">
        <w:rPr>
          <w:rFonts w:ascii="Sylfaen" w:hAnsi="Sylfaen"/>
          <w:szCs w:val="20"/>
          <w:lang w:val="fr-FR"/>
        </w:rPr>
        <w:t>’</w:t>
      </w:r>
      <w:r w:rsidRPr="00CA1B43">
        <w:rPr>
          <w:rFonts w:ascii="Sylfaen" w:hAnsi="Sylfaen"/>
          <w:szCs w:val="20"/>
          <w:lang w:val="fr-FR"/>
        </w:rPr>
        <w:t>homme du Conseil de l</w:t>
      </w:r>
      <w:r w:rsidR="00133BF3">
        <w:rPr>
          <w:rFonts w:ascii="Sylfaen" w:hAnsi="Sylfaen"/>
          <w:szCs w:val="20"/>
          <w:lang w:val="fr-FR"/>
        </w:rPr>
        <w:t>’</w:t>
      </w:r>
      <w:r w:rsidRPr="00CA1B43">
        <w:rPr>
          <w:rFonts w:ascii="Sylfaen" w:hAnsi="Sylfaen"/>
          <w:szCs w:val="20"/>
          <w:lang w:val="fr-FR"/>
        </w:rPr>
        <w:t>Europe (</w:t>
      </w:r>
      <w:hyperlink r:id="rId18" w:tgtFrame="_blank" w:tooltip="http://www.coe.int/humanrightstrustfund" w:history="1">
        <w:r w:rsidRPr="00CA1B43">
          <w:rPr>
            <w:rFonts w:ascii="Sylfaen" w:hAnsi="Sylfaen"/>
            <w:color w:val="0000FF"/>
            <w:szCs w:val="20"/>
            <w:u w:val="single"/>
            <w:lang w:val="fr-FR"/>
          </w:rPr>
          <w:t>www.coe.int/humanrightstrustfund</w:t>
        </w:r>
      </w:hyperlink>
      <w:r w:rsidRPr="00CA1B43">
        <w:rPr>
          <w:rFonts w:ascii="Sylfaen" w:hAnsi="Sylfaen"/>
          <w:szCs w:val="20"/>
          <w:lang w:val="fr-FR"/>
        </w:rPr>
        <w:t>). Elle ne lie pas la Cour, et celle-ci décline toute responsabilité quant à sa qualité. Elle peut être téléchargée à partir de HUDOC, la base de jurisprudence de la Cour européenne des droits de l</w:t>
      </w:r>
      <w:r w:rsidR="00133BF3">
        <w:rPr>
          <w:rFonts w:ascii="Sylfaen" w:hAnsi="Sylfaen"/>
          <w:szCs w:val="20"/>
          <w:lang w:val="fr-FR"/>
        </w:rPr>
        <w:t>’</w:t>
      </w:r>
      <w:r w:rsidRPr="00CA1B43">
        <w:rPr>
          <w:rFonts w:ascii="Sylfaen" w:hAnsi="Sylfaen"/>
          <w:szCs w:val="20"/>
          <w:lang w:val="fr-FR"/>
        </w:rPr>
        <w:t>homme (</w:t>
      </w:r>
      <w:hyperlink r:id="rId19" w:tgtFrame="_blank" w:tooltip="http://hudoc.echr.coe.int/" w:history="1">
        <w:r w:rsidRPr="00CA1B43">
          <w:rPr>
            <w:rFonts w:ascii="Sylfaen" w:hAnsi="Sylfaen"/>
            <w:color w:val="0000FF"/>
            <w:szCs w:val="20"/>
            <w:u w:val="single"/>
            <w:lang w:val="fr-FR"/>
          </w:rPr>
          <w:t>http://hudoc.echr.coe.int</w:t>
        </w:r>
      </w:hyperlink>
      <w:r w:rsidRPr="00CA1B43">
        <w:rPr>
          <w:rFonts w:ascii="Sylfaen" w:hAnsi="Sylfaen"/>
          <w:szCs w:val="20"/>
          <w:lang w:val="fr-FR"/>
        </w:rPr>
        <w:t>), ou de toute autre base de données à laquelle HUDOC l</w:t>
      </w:r>
      <w:r w:rsidR="00133BF3">
        <w:rPr>
          <w:rFonts w:ascii="Sylfaen" w:hAnsi="Sylfaen"/>
          <w:szCs w:val="20"/>
          <w:lang w:val="fr-FR"/>
        </w:rPr>
        <w:t>’</w:t>
      </w:r>
      <w:r w:rsidRPr="00CA1B43">
        <w:rPr>
          <w:rFonts w:ascii="Sylfaen" w:hAnsi="Sylfaen"/>
          <w:szCs w:val="20"/>
          <w:lang w:val="fr-FR"/>
        </w:rPr>
        <w:t>a communiquée. Elle peut être reproduite à des fins non commerciales, sous réserve que le titre de l</w:t>
      </w:r>
      <w:r w:rsidR="00133BF3">
        <w:rPr>
          <w:rFonts w:ascii="Sylfaen" w:hAnsi="Sylfaen"/>
          <w:szCs w:val="20"/>
          <w:lang w:val="fr-FR"/>
        </w:rPr>
        <w:t>’</w:t>
      </w:r>
      <w:r w:rsidRPr="00CA1B43">
        <w:rPr>
          <w:rFonts w:ascii="Sylfaen" w:hAnsi="Sylfaen"/>
          <w:szCs w:val="20"/>
          <w:lang w:val="fr-FR"/>
        </w:rPr>
        <w:t>affaire soit cité en entier et s</w:t>
      </w:r>
      <w:r w:rsidR="00133BF3">
        <w:rPr>
          <w:rFonts w:ascii="Sylfaen" w:hAnsi="Sylfaen"/>
          <w:szCs w:val="20"/>
          <w:lang w:val="fr-FR"/>
        </w:rPr>
        <w:t>’</w:t>
      </w:r>
      <w:r w:rsidRPr="00CA1B43">
        <w:rPr>
          <w:rFonts w:ascii="Sylfaen" w:hAnsi="Sylfaen"/>
          <w:szCs w:val="20"/>
          <w:lang w:val="fr-FR"/>
        </w:rPr>
        <w:t>accompagne de l</w:t>
      </w:r>
      <w:r w:rsidR="00133BF3">
        <w:rPr>
          <w:rFonts w:ascii="Sylfaen" w:hAnsi="Sylfaen"/>
          <w:szCs w:val="20"/>
          <w:lang w:val="fr-FR"/>
        </w:rPr>
        <w:t>’</w:t>
      </w:r>
      <w:r w:rsidRPr="00CA1B43">
        <w:rPr>
          <w:rFonts w:ascii="Sylfaen" w:hAnsi="Sylfaen"/>
          <w:szCs w:val="20"/>
          <w:lang w:val="fr-FR"/>
        </w:rPr>
        <w:t>indication de copyright ci-dessus ainsi que de la référence au Fonds fiduciaire pour les droits de l</w:t>
      </w:r>
      <w:r w:rsidR="00133BF3">
        <w:rPr>
          <w:rFonts w:ascii="Sylfaen" w:hAnsi="Sylfaen"/>
          <w:szCs w:val="20"/>
          <w:lang w:val="fr-FR"/>
        </w:rPr>
        <w:t>’</w:t>
      </w:r>
      <w:r w:rsidRPr="00CA1B43">
        <w:rPr>
          <w:rFonts w:ascii="Sylfaen" w:hAnsi="Sylfaen"/>
          <w:szCs w:val="20"/>
          <w:lang w:val="fr-FR"/>
        </w:rPr>
        <w:t>homme. Toute personne souhaitant se servir de tout ou partie de la présente traduction à des fins commerciales est invitée à le signaler à l</w:t>
      </w:r>
      <w:r w:rsidR="00133BF3">
        <w:rPr>
          <w:rFonts w:ascii="Sylfaen" w:hAnsi="Sylfaen"/>
          <w:szCs w:val="20"/>
          <w:lang w:val="fr-FR"/>
        </w:rPr>
        <w:t>’</w:t>
      </w:r>
      <w:r w:rsidRPr="00CA1B43">
        <w:rPr>
          <w:rFonts w:ascii="Sylfaen" w:hAnsi="Sylfaen"/>
          <w:szCs w:val="20"/>
          <w:lang w:val="fr-FR"/>
        </w:rPr>
        <w:t xml:space="preserve">adresse suivante : </w:t>
      </w:r>
      <w:hyperlink r:id="rId20" w:tgtFrame="_blank" w:tooltip="mailto:publishing@echr.coe.int" w:history="1">
        <w:r w:rsidRPr="00CA1B43">
          <w:rPr>
            <w:rFonts w:ascii="Sylfaen" w:hAnsi="Sylfaen"/>
            <w:color w:val="0000FF"/>
            <w:szCs w:val="20"/>
            <w:u w:val="single"/>
            <w:lang w:val="fr-FR"/>
          </w:rPr>
          <w:t>publishing@echr.coe.int</w:t>
        </w:r>
      </w:hyperlink>
      <w:r w:rsidRPr="00CA1B43">
        <w:rPr>
          <w:rFonts w:ascii="Sylfaen" w:hAnsi="Sylfaen"/>
          <w:color w:val="888888"/>
          <w:szCs w:val="20"/>
          <w:lang w:val="fr-FR"/>
        </w:rPr>
        <w:t>.</w:t>
      </w:r>
    </w:p>
    <w:p w:rsidR="009E3EF0" w:rsidRPr="00CA1B43" w:rsidRDefault="009E3EF0" w:rsidP="00922AF3">
      <w:pPr>
        <w:pStyle w:val="ClinFooter"/>
        <w:spacing w:before="0"/>
        <w:jc w:val="both"/>
        <w:rPr>
          <w:rFonts w:ascii="Sylfaen" w:hAnsi="Sylfaen"/>
          <w:szCs w:val="20"/>
          <w:lang w:val="fr-FR"/>
        </w:rPr>
      </w:pPr>
    </w:p>
    <w:sectPr w:rsidR="009E3EF0" w:rsidRPr="00CA1B43" w:rsidSect="00922AF3">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F5"/>
    <w:rsid w:val="00007B81"/>
    <w:rsid w:val="00020621"/>
    <w:rsid w:val="000472F6"/>
    <w:rsid w:val="0008688A"/>
    <w:rsid w:val="00086BA8"/>
    <w:rsid w:val="00097888"/>
    <w:rsid w:val="000979DD"/>
    <w:rsid w:val="000A3C16"/>
    <w:rsid w:val="000B18E9"/>
    <w:rsid w:val="000B3A56"/>
    <w:rsid w:val="000B61E3"/>
    <w:rsid w:val="000F13B5"/>
    <w:rsid w:val="00103B7E"/>
    <w:rsid w:val="00107377"/>
    <w:rsid w:val="00112B1B"/>
    <w:rsid w:val="00116083"/>
    <w:rsid w:val="00124F52"/>
    <w:rsid w:val="00133BF3"/>
    <w:rsid w:val="00133FF8"/>
    <w:rsid w:val="00143602"/>
    <w:rsid w:val="00143D66"/>
    <w:rsid w:val="00183EBC"/>
    <w:rsid w:val="00186560"/>
    <w:rsid w:val="001A0574"/>
    <w:rsid w:val="001A2526"/>
    <w:rsid w:val="001B7289"/>
    <w:rsid w:val="001C2967"/>
    <w:rsid w:val="001D2702"/>
    <w:rsid w:val="001D497E"/>
    <w:rsid w:val="001D620E"/>
    <w:rsid w:val="001E0BC7"/>
    <w:rsid w:val="00212E83"/>
    <w:rsid w:val="0024273B"/>
    <w:rsid w:val="00242F73"/>
    <w:rsid w:val="002439F5"/>
    <w:rsid w:val="00263C8B"/>
    <w:rsid w:val="002860D8"/>
    <w:rsid w:val="002966E7"/>
    <w:rsid w:val="002C06DC"/>
    <w:rsid w:val="002D12A0"/>
    <w:rsid w:val="002D5A35"/>
    <w:rsid w:val="002E72F6"/>
    <w:rsid w:val="003025C8"/>
    <w:rsid w:val="0030264F"/>
    <w:rsid w:val="00340BFC"/>
    <w:rsid w:val="003604DD"/>
    <w:rsid w:val="0036599A"/>
    <w:rsid w:val="00386958"/>
    <w:rsid w:val="00393186"/>
    <w:rsid w:val="003A64A6"/>
    <w:rsid w:val="003B32AC"/>
    <w:rsid w:val="003D7BB3"/>
    <w:rsid w:val="003E0D48"/>
    <w:rsid w:val="003E1D3D"/>
    <w:rsid w:val="003E279B"/>
    <w:rsid w:val="003F5282"/>
    <w:rsid w:val="0041641F"/>
    <w:rsid w:val="00434AC1"/>
    <w:rsid w:val="004447CC"/>
    <w:rsid w:val="00446AF3"/>
    <w:rsid w:val="00455661"/>
    <w:rsid w:val="0046453F"/>
    <w:rsid w:val="0049054C"/>
    <w:rsid w:val="00490787"/>
    <w:rsid w:val="004C2EC4"/>
    <w:rsid w:val="004C497D"/>
    <w:rsid w:val="004D13CE"/>
    <w:rsid w:val="004D568D"/>
    <w:rsid w:val="004F1E97"/>
    <w:rsid w:val="004F531F"/>
    <w:rsid w:val="005205A1"/>
    <w:rsid w:val="0052092D"/>
    <w:rsid w:val="005234FA"/>
    <w:rsid w:val="0053136C"/>
    <w:rsid w:val="00531645"/>
    <w:rsid w:val="00540D75"/>
    <w:rsid w:val="005514E5"/>
    <w:rsid w:val="005724A9"/>
    <w:rsid w:val="0059738B"/>
    <w:rsid w:val="005D3CBE"/>
    <w:rsid w:val="005D7975"/>
    <w:rsid w:val="005E0AE5"/>
    <w:rsid w:val="005E3838"/>
    <w:rsid w:val="005E7640"/>
    <w:rsid w:val="005F243D"/>
    <w:rsid w:val="00600233"/>
    <w:rsid w:val="006028A1"/>
    <w:rsid w:val="0061780C"/>
    <w:rsid w:val="0061798B"/>
    <w:rsid w:val="00631A28"/>
    <w:rsid w:val="00651FE9"/>
    <w:rsid w:val="0066151F"/>
    <w:rsid w:val="00674B4E"/>
    <w:rsid w:val="00696AC8"/>
    <w:rsid w:val="006A36AD"/>
    <w:rsid w:val="006B7EE5"/>
    <w:rsid w:val="006C1D96"/>
    <w:rsid w:val="006C5711"/>
    <w:rsid w:val="006F4DB4"/>
    <w:rsid w:val="00741C3D"/>
    <w:rsid w:val="00773C27"/>
    <w:rsid w:val="00774515"/>
    <w:rsid w:val="007956B9"/>
    <w:rsid w:val="007A6454"/>
    <w:rsid w:val="008113DF"/>
    <w:rsid w:val="008235CA"/>
    <w:rsid w:val="00824EB2"/>
    <w:rsid w:val="00832A25"/>
    <w:rsid w:val="00845CE7"/>
    <w:rsid w:val="00855FDC"/>
    <w:rsid w:val="008708B4"/>
    <w:rsid w:val="00886189"/>
    <w:rsid w:val="00886561"/>
    <w:rsid w:val="00895EF3"/>
    <w:rsid w:val="008C64D5"/>
    <w:rsid w:val="008E4A81"/>
    <w:rsid w:val="008F5ECE"/>
    <w:rsid w:val="00903D38"/>
    <w:rsid w:val="0092021A"/>
    <w:rsid w:val="00921150"/>
    <w:rsid w:val="00922AF3"/>
    <w:rsid w:val="00943EE5"/>
    <w:rsid w:val="00973812"/>
    <w:rsid w:val="00994F2A"/>
    <w:rsid w:val="009B3B2C"/>
    <w:rsid w:val="009C7FBB"/>
    <w:rsid w:val="009D5FA6"/>
    <w:rsid w:val="009D631E"/>
    <w:rsid w:val="009D6B3B"/>
    <w:rsid w:val="009D7B9A"/>
    <w:rsid w:val="009E39DB"/>
    <w:rsid w:val="009E3EF0"/>
    <w:rsid w:val="00A04D9C"/>
    <w:rsid w:val="00A258BB"/>
    <w:rsid w:val="00A33541"/>
    <w:rsid w:val="00A45616"/>
    <w:rsid w:val="00A61938"/>
    <w:rsid w:val="00A718D2"/>
    <w:rsid w:val="00A82976"/>
    <w:rsid w:val="00A900B0"/>
    <w:rsid w:val="00AA4BD8"/>
    <w:rsid w:val="00AB7FB9"/>
    <w:rsid w:val="00AC28C9"/>
    <w:rsid w:val="00AC7726"/>
    <w:rsid w:val="00AD1EF5"/>
    <w:rsid w:val="00AD7C82"/>
    <w:rsid w:val="00B0266E"/>
    <w:rsid w:val="00B32A5C"/>
    <w:rsid w:val="00B34E78"/>
    <w:rsid w:val="00B41CA5"/>
    <w:rsid w:val="00B4314E"/>
    <w:rsid w:val="00B44322"/>
    <w:rsid w:val="00B51FD3"/>
    <w:rsid w:val="00B80CA0"/>
    <w:rsid w:val="00B85770"/>
    <w:rsid w:val="00B95457"/>
    <w:rsid w:val="00BB32D4"/>
    <w:rsid w:val="00BD4DA5"/>
    <w:rsid w:val="00BF1CD9"/>
    <w:rsid w:val="00C05A4F"/>
    <w:rsid w:val="00C16138"/>
    <w:rsid w:val="00C72355"/>
    <w:rsid w:val="00C93CFB"/>
    <w:rsid w:val="00CA1B43"/>
    <w:rsid w:val="00CA494D"/>
    <w:rsid w:val="00CC112D"/>
    <w:rsid w:val="00CE6BBB"/>
    <w:rsid w:val="00CF7BA6"/>
    <w:rsid w:val="00D15268"/>
    <w:rsid w:val="00D27094"/>
    <w:rsid w:val="00D42086"/>
    <w:rsid w:val="00D425B3"/>
    <w:rsid w:val="00D66981"/>
    <w:rsid w:val="00D74EA7"/>
    <w:rsid w:val="00D85417"/>
    <w:rsid w:val="00D961F3"/>
    <w:rsid w:val="00DB4A97"/>
    <w:rsid w:val="00DC4A71"/>
    <w:rsid w:val="00DD33AD"/>
    <w:rsid w:val="00DD3D5D"/>
    <w:rsid w:val="00DE26FD"/>
    <w:rsid w:val="00DE2C82"/>
    <w:rsid w:val="00DE764B"/>
    <w:rsid w:val="00E04DBF"/>
    <w:rsid w:val="00E26F79"/>
    <w:rsid w:val="00E55491"/>
    <w:rsid w:val="00E83DB6"/>
    <w:rsid w:val="00E855EA"/>
    <w:rsid w:val="00EA1181"/>
    <w:rsid w:val="00EA53E7"/>
    <w:rsid w:val="00ED47A3"/>
    <w:rsid w:val="00EE5055"/>
    <w:rsid w:val="00EF1732"/>
    <w:rsid w:val="00EF2B60"/>
    <w:rsid w:val="00F05A8A"/>
    <w:rsid w:val="00F42B78"/>
    <w:rsid w:val="00F50CCD"/>
    <w:rsid w:val="00F5247C"/>
    <w:rsid w:val="00F53584"/>
    <w:rsid w:val="00F61AF9"/>
    <w:rsid w:val="00F6674D"/>
    <w:rsid w:val="00F87D1E"/>
    <w:rsid w:val="00FA29ED"/>
    <w:rsid w:val="00FB57FD"/>
    <w:rsid w:val="00FC38F5"/>
    <w:rsid w:val="00FD6D5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2C"/>
    <w:rPr>
      <w:rFonts w:ascii="Verdana" w:hAnsi="Verdana"/>
      <w:szCs w:val="24"/>
      <w:lang w:val="en-GB" w:eastAsia="en-GB"/>
    </w:rPr>
  </w:style>
  <w:style w:type="paragraph" w:styleId="Heading1">
    <w:name w:val="heading 1"/>
    <w:basedOn w:val="Normal"/>
    <w:next w:val="Normal"/>
    <w:qFormat/>
    <w:rsid w:val="00903D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nMainKeywordCode">
    <w:name w:val="ClinMainKeywordCode"/>
    <w:basedOn w:val="Normal"/>
    <w:next w:val="Normal"/>
    <w:rsid w:val="00143602"/>
    <w:pPr>
      <w:keepNext/>
      <w:spacing w:before="240" w:after="240"/>
    </w:pPr>
    <w:rPr>
      <w:b/>
      <w:sz w:val="24"/>
      <w:szCs w:val="32"/>
    </w:rPr>
  </w:style>
  <w:style w:type="paragraph" w:customStyle="1" w:styleId="ClinChildKeywordCode">
    <w:name w:val="ClinChildKeywordCode"/>
    <w:basedOn w:val="Normal"/>
    <w:next w:val="Normal"/>
    <w:rsid w:val="00D42086"/>
    <w:pPr>
      <w:spacing w:after="240"/>
    </w:pPr>
    <w:rPr>
      <w:b/>
      <w:szCs w:val="22"/>
    </w:rPr>
  </w:style>
  <w:style w:type="paragraph" w:customStyle="1" w:styleId="ClinKeyword">
    <w:name w:val="ClinKeyword"/>
    <w:basedOn w:val="Normal"/>
    <w:rsid w:val="0052092D"/>
    <w:pPr>
      <w:keepNext/>
      <w:spacing w:after="100" w:afterAutospacing="1"/>
    </w:pPr>
    <w:rPr>
      <w:b/>
    </w:rPr>
  </w:style>
  <w:style w:type="character" w:customStyle="1" w:styleId="ClinCaseTitle">
    <w:name w:val="ClinCaseTitle"/>
    <w:basedOn w:val="DefaultParagraphFont"/>
    <w:rsid w:val="009B3B2C"/>
    <w:rPr>
      <w:rFonts w:ascii="Verdana" w:hAnsi="Verdana" w:cs="Times New Roman"/>
      <w:b/>
      <w:i/>
      <w:sz w:val="24"/>
    </w:rPr>
  </w:style>
  <w:style w:type="character" w:customStyle="1" w:styleId="ClinHudocDocumentTitle">
    <w:name w:val="ClinHudocDocumentTitle"/>
    <w:basedOn w:val="DefaultParagraphFont"/>
    <w:rsid w:val="00A33541"/>
    <w:rPr>
      <w:rFonts w:ascii="Verdana" w:hAnsi="Verdana" w:cs="Times New Roman"/>
      <w:color w:val="auto"/>
    </w:rPr>
  </w:style>
  <w:style w:type="character" w:customStyle="1" w:styleId="ClinConclusions">
    <w:name w:val="ClinConclusions"/>
    <w:basedOn w:val="DefaultParagraphFont"/>
    <w:rsid w:val="00C93CFB"/>
    <w:rPr>
      <w:rFonts w:ascii="Verdana" w:hAnsi="Verdana" w:cs="Times New Roman"/>
      <w:i/>
      <w:iCs/>
      <w:color w:val="auto"/>
    </w:rPr>
  </w:style>
  <w:style w:type="paragraph" w:customStyle="1" w:styleId="ClinKeyNotions">
    <w:name w:val="ClinKeyNotions"/>
    <w:basedOn w:val="Normal"/>
    <w:rsid w:val="00D42086"/>
  </w:style>
  <w:style w:type="character" w:customStyle="1" w:styleId="ClinApplicationNumber">
    <w:name w:val="ClinApplicationNumber"/>
    <w:basedOn w:val="DefaultParagraphFont"/>
    <w:rsid w:val="00C93CFB"/>
    <w:rPr>
      <w:rFonts w:ascii="Verdana" w:hAnsi="Verdana" w:cs="Times New Roman"/>
      <w:b/>
      <w:sz w:val="24"/>
    </w:rPr>
  </w:style>
  <w:style w:type="character" w:customStyle="1" w:styleId="ClinSectionName">
    <w:name w:val="ClinSectionName"/>
    <w:basedOn w:val="DefaultParagraphFont"/>
    <w:rsid w:val="00A33541"/>
    <w:rPr>
      <w:rFonts w:ascii="Verdana" w:hAnsi="Verdana" w:cs="Times New Roman"/>
    </w:rPr>
  </w:style>
  <w:style w:type="character" w:customStyle="1" w:styleId="ClinHeadNote">
    <w:name w:val="ClinHeadNote"/>
    <w:basedOn w:val="DefaultParagraphFont"/>
    <w:rsid w:val="00D42086"/>
    <w:rPr>
      <w:rFonts w:cs="Times New Roman"/>
    </w:rPr>
  </w:style>
  <w:style w:type="paragraph" w:customStyle="1" w:styleId="ClinContent">
    <w:name w:val="ClinContent"/>
    <w:basedOn w:val="Normal"/>
    <w:rsid w:val="00D42086"/>
    <w:pPr>
      <w:spacing w:before="240"/>
      <w:jc w:val="both"/>
    </w:pPr>
  </w:style>
  <w:style w:type="paragraph" w:customStyle="1" w:styleId="ClinEditionNumber">
    <w:name w:val="ClinEditionNumber"/>
    <w:basedOn w:val="ClinContent"/>
    <w:rsid w:val="00FA29ED"/>
  </w:style>
  <w:style w:type="paragraph" w:customStyle="1" w:styleId="ClinEditionMonth">
    <w:name w:val="ClinEditionMonth"/>
    <w:basedOn w:val="ClinContent"/>
    <w:rsid w:val="00D42086"/>
    <w:pPr>
      <w:keepNext/>
      <w:pBdr>
        <w:bottom w:val="single" w:sz="4" w:space="1" w:color="auto"/>
      </w:pBdr>
      <w:spacing w:before="0" w:after="360"/>
      <w:contextualSpacing/>
    </w:pPr>
  </w:style>
  <w:style w:type="paragraph" w:customStyle="1" w:styleId="ClinFooter">
    <w:name w:val="ClinFooter"/>
    <w:basedOn w:val="ClinContent"/>
    <w:rsid w:val="00631A28"/>
    <w:pPr>
      <w:jc w:val="center"/>
    </w:pPr>
  </w:style>
  <w:style w:type="character" w:styleId="Hyperlink">
    <w:name w:val="Hyperlink"/>
    <w:basedOn w:val="DefaultParagraphFont"/>
    <w:rsid w:val="00FC3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2C"/>
    <w:rPr>
      <w:rFonts w:ascii="Verdana" w:hAnsi="Verdana"/>
      <w:szCs w:val="24"/>
      <w:lang w:val="en-GB" w:eastAsia="en-GB"/>
    </w:rPr>
  </w:style>
  <w:style w:type="paragraph" w:styleId="Heading1">
    <w:name w:val="heading 1"/>
    <w:basedOn w:val="Normal"/>
    <w:next w:val="Normal"/>
    <w:qFormat/>
    <w:rsid w:val="00903D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nMainKeywordCode">
    <w:name w:val="ClinMainKeywordCode"/>
    <w:basedOn w:val="Normal"/>
    <w:next w:val="Normal"/>
    <w:rsid w:val="00143602"/>
    <w:pPr>
      <w:keepNext/>
      <w:spacing w:before="240" w:after="240"/>
    </w:pPr>
    <w:rPr>
      <w:b/>
      <w:sz w:val="24"/>
      <w:szCs w:val="32"/>
    </w:rPr>
  </w:style>
  <w:style w:type="paragraph" w:customStyle="1" w:styleId="ClinChildKeywordCode">
    <w:name w:val="ClinChildKeywordCode"/>
    <w:basedOn w:val="Normal"/>
    <w:next w:val="Normal"/>
    <w:rsid w:val="00D42086"/>
    <w:pPr>
      <w:spacing w:after="240"/>
    </w:pPr>
    <w:rPr>
      <w:b/>
      <w:szCs w:val="22"/>
    </w:rPr>
  </w:style>
  <w:style w:type="paragraph" w:customStyle="1" w:styleId="ClinKeyword">
    <w:name w:val="ClinKeyword"/>
    <w:basedOn w:val="Normal"/>
    <w:rsid w:val="0052092D"/>
    <w:pPr>
      <w:keepNext/>
      <w:spacing w:after="100" w:afterAutospacing="1"/>
    </w:pPr>
    <w:rPr>
      <w:b/>
    </w:rPr>
  </w:style>
  <w:style w:type="character" w:customStyle="1" w:styleId="ClinCaseTitle">
    <w:name w:val="ClinCaseTitle"/>
    <w:basedOn w:val="DefaultParagraphFont"/>
    <w:rsid w:val="009B3B2C"/>
    <w:rPr>
      <w:rFonts w:ascii="Verdana" w:hAnsi="Verdana" w:cs="Times New Roman"/>
      <w:b/>
      <w:i/>
      <w:sz w:val="24"/>
    </w:rPr>
  </w:style>
  <w:style w:type="character" w:customStyle="1" w:styleId="ClinHudocDocumentTitle">
    <w:name w:val="ClinHudocDocumentTitle"/>
    <w:basedOn w:val="DefaultParagraphFont"/>
    <w:rsid w:val="00A33541"/>
    <w:rPr>
      <w:rFonts w:ascii="Verdana" w:hAnsi="Verdana" w:cs="Times New Roman"/>
      <w:color w:val="auto"/>
    </w:rPr>
  </w:style>
  <w:style w:type="character" w:customStyle="1" w:styleId="ClinConclusions">
    <w:name w:val="ClinConclusions"/>
    <w:basedOn w:val="DefaultParagraphFont"/>
    <w:rsid w:val="00C93CFB"/>
    <w:rPr>
      <w:rFonts w:ascii="Verdana" w:hAnsi="Verdana" w:cs="Times New Roman"/>
      <w:i/>
      <w:iCs/>
      <w:color w:val="auto"/>
    </w:rPr>
  </w:style>
  <w:style w:type="paragraph" w:customStyle="1" w:styleId="ClinKeyNotions">
    <w:name w:val="ClinKeyNotions"/>
    <w:basedOn w:val="Normal"/>
    <w:rsid w:val="00D42086"/>
  </w:style>
  <w:style w:type="character" w:customStyle="1" w:styleId="ClinApplicationNumber">
    <w:name w:val="ClinApplicationNumber"/>
    <w:basedOn w:val="DefaultParagraphFont"/>
    <w:rsid w:val="00C93CFB"/>
    <w:rPr>
      <w:rFonts w:ascii="Verdana" w:hAnsi="Verdana" w:cs="Times New Roman"/>
      <w:b/>
      <w:sz w:val="24"/>
    </w:rPr>
  </w:style>
  <w:style w:type="character" w:customStyle="1" w:styleId="ClinSectionName">
    <w:name w:val="ClinSectionName"/>
    <w:basedOn w:val="DefaultParagraphFont"/>
    <w:rsid w:val="00A33541"/>
    <w:rPr>
      <w:rFonts w:ascii="Verdana" w:hAnsi="Verdana" w:cs="Times New Roman"/>
    </w:rPr>
  </w:style>
  <w:style w:type="character" w:customStyle="1" w:styleId="ClinHeadNote">
    <w:name w:val="ClinHeadNote"/>
    <w:basedOn w:val="DefaultParagraphFont"/>
    <w:rsid w:val="00D42086"/>
    <w:rPr>
      <w:rFonts w:cs="Times New Roman"/>
    </w:rPr>
  </w:style>
  <w:style w:type="paragraph" w:customStyle="1" w:styleId="ClinContent">
    <w:name w:val="ClinContent"/>
    <w:basedOn w:val="Normal"/>
    <w:rsid w:val="00D42086"/>
    <w:pPr>
      <w:spacing w:before="240"/>
      <w:jc w:val="both"/>
    </w:pPr>
  </w:style>
  <w:style w:type="paragraph" w:customStyle="1" w:styleId="ClinEditionNumber">
    <w:name w:val="ClinEditionNumber"/>
    <w:basedOn w:val="ClinContent"/>
    <w:rsid w:val="00FA29ED"/>
  </w:style>
  <w:style w:type="paragraph" w:customStyle="1" w:styleId="ClinEditionMonth">
    <w:name w:val="ClinEditionMonth"/>
    <w:basedOn w:val="ClinContent"/>
    <w:rsid w:val="00D42086"/>
    <w:pPr>
      <w:keepNext/>
      <w:pBdr>
        <w:bottom w:val="single" w:sz="4" w:space="1" w:color="auto"/>
      </w:pBdr>
      <w:spacing w:before="0" w:after="360"/>
      <w:contextualSpacing/>
    </w:pPr>
  </w:style>
  <w:style w:type="paragraph" w:customStyle="1" w:styleId="ClinFooter">
    <w:name w:val="ClinFooter"/>
    <w:basedOn w:val="ClinContent"/>
    <w:rsid w:val="00631A28"/>
    <w:pPr>
      <w:jc w:val="center"/>
    </w:pPr>
  </w:style>
  <w:style w:type="character" w:styleId="Hyperlink">
    <w:name w:val="Hyperlink"/>
    <w:basedOn w:val="DefaultParagraphFont"/>
    <w:rsid w:val="00FC3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http://hudoc.echr.coe.int/" TargetMode="External"/><Relationship Id="rId18" Type="http://schemas.openxmlformats.org/officeDocument/2006/relationships/hyperlink" Target="http://www.coe.int/humanrightstrustfun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e.int/humanrightstrustfund" TargetMode="External"/><Relationship Id="rId17" Type="http://schemas.openxmlformats.org/officeDocument/2006/relationships/hyperlink" Target="mailto:publishing@echr.coe.int" TargetMode="External"/><Relationship Id="rId2" Type="http://schemas.openxmlformats.org/officeDocument/2006/relationships/customXml" Target="../customXml/item2.xml"/><Relationship Id="rId16" Type="http://schemas.openxmlformats.org/officeDocument/2006/relationships/hyperlink" Target="http://hudoc.echr.coe.int/" TargetMode="External"/><Relationship Id="rId20" Type="http://schemas.openxmlformats.org/officeDocument/2006/relationships/hyperlink" Target="mailto:publishing@echr.coe.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hr.coe.int/ECHR/EN/Header/Case-Law/Case-law+analysis/Information+notes/" TargetMode="External"/><Relationship Id="rId5" Type="http://schemas.microsoft.com/office/2007/relationships/stylesWithEffects" Target="stylesWithEffects.xml"/><Relationship Id="rId15" Type="http://schemas.openxmlformats.org/officeDocument/2006/relationships/hyperlink" Target="http://www.coe.int/humanrightstrustfund" TargetMode="External"/><Relationship Id="rId10" Type="http://schemas.openxmlformats.org/officeDocument/2006/relationships/hyperlink" Target="http://www.coe.int/humanrightstrustfund" TargetMode="External"/><Relationship Id="rId19" Type="http://schemas.openxmlformats.org/officeDocument/2006/relationships/hyperlink" Target="http://hudoc.echr.coe.int/" TargetMode="External"/><Relationship Id="rId4" Type="http://schemas.openxmlformats.org/officeDocument/2006/relationships/styles" Target="styles.xml"/><Relationship Id="rId9" Type="http://schemas.openxmlformats.org/officeDocument/2006/relationships/hyperlink" Target="http://www.coe.int/humanrightstrustfund" TargetMode="External"/><Relationship Id="rId14" Type="http://schemas.openxmlformats.org/officeDocument/2006/relationships/hyperlink" Target="mailto:publishing@echr.coe.int"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9B9E-71C5-43E1-8250-3623029F00EB}">
  <ds:schemaRefs>
    <ds:schemaRef ds:uri="http://schemas.microsoft.com/sharepoint/v3/contenttype/forms"/>
  </ds:schemaRefs>
</ds:datastoreItem>
</file>

<file path=customXml/itemProps2.xml><?xml version="1.0" encoding="utf-8"?>
<ds:datastoreItem xmlns:ds="http://schemas.openxmlformats.org/officeDocument/2006/customXml" ds:itemID="{07A7F0D9-6EC3-4747-BAEE-397C40B99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5E405B-06B7-43A0-98B9-3B22FACA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17188</CharactersWithSpaces>
  <SharedDoc>false</SharedDoc>
  <HLinks>
    <vt:vector size="6" baseType="variant">
      <vt:variant>
        <vt:i4>655437</vt:i4>
      </vt:variant>
      <vt:variant>
        <vt:i4>0</vt:i4>
      </vt:variant>
      <vt:variant>
        <vt:i4>0</vt:i4>
      </vt:variant>
      <vt:variant>
        <vt:i4>5</vt:i4>
      </vt:variant>
      <vt:variant>
        <vt:lpwstr>http://www.echr.coe.int/ECHR/EN/Header/Case-Law/Case-law+analysis/Information+notes/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cp:lastPrinted>2013-09-12T08:57:00Z</cp:lastPrinted>
  <dcterms:created xsi:type="dcterms:W3CDTF">2014-08-09T19:26:00Z</dcterms:created>
  <dcterms:modified xsi:type="dcterms:W3CDTF">2014-08-09T19:26:00Z</dcterms:modified>
</cp:coreProperties>
</file>